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8419" w14:textId="5AC38601" w:rsidR="002C2F3E" w:rsidRDefault="007C5B78" w:rsidP="002C2F3E">
      <w:pPr>
        <w:jc w:val="center"/>
      </w:pPr>
      <w:r>
        <w:t>Consumer Payment Rights and Transparency Act</w:t>
      </w:r>
    </w:p>
    <w:p w14:paraId="14CE5F75" w14:textId="78AC5F9B" w:rsidR="002C2F3E" w:rsidRDefault="00353F5D" w:rsidP="002C2F3E">
      <w:pPr>
        <w:jc w:val="center"/>
      </w:pPr>
      <w:r>
        <w:t>Solari Model Legislation</w:t>
      </w:r>
    </w:p>
    <w:p w14:paraId="1F0CD01E" w14:textId="7E6F7452" w:rsidR="00CB56AD" w:rsidRDefault="00620D22" w:rsidP="002C2F3E">
      <w:pPr>
        <w:jc w:val="center"/>
      </w:pPr>
      <w:r>
        <w:t>Version 2</w:t>
      </w:r>
    </w:p>
    <w:p w14:paraId="4AA14087" w14:textId="77777777" w:rsidR="007C5B78" w:rsidRDefault="007C5B78"/>
    <w:p w14:paraId="3BA69126" w14:textId="74FF9660" w:rsidR="00C8085E" w:rsidRDefault="007C5B78">
      <w:r w:rsidRPr="007C5B78">
        <w:t>ARTICLE 1. The state's implementation of § 1-201(b)(24) of the Uniform Commercial Code (UCC) is amended by adding the sentence "The term does not include programmable money</w:t>
      </w:r>
      <w:r w:rsidR="009A77B3">
        <w:t xml:space="preserve"> as defined in [</w:t>
      </w:r>
      <w:r w:rsidR="00620D22" w:rsidRPr="00A946E7">
        <w:rPr>
          <w:i/>
          <w:iCs/>
        </w:rPr>
        <w:t>insert location of Article 3(1)(</w:t>
      </w:r>
      <w:r w:rsidR="002B2118">
        <w:rPr>
          <w:i/>
          <w:iCs/>
        </w:rPr>
        <w:t>2</w:t>
      </w:r>
      <w:r w:rsidR="00620D22" w:rsidRPr="00A946E7">
        <w:rPr>
          <w:i/>
          <w:iCs/>
        </w:rPr>
        <w:t>)</w:t>
      </w:r>
      <w:r w:rsidR="000021FC">
        <w:t>]</w:t>
      </w:r>
      <w:r w:rsidRPr="007C5B78">
        <w:t xml:space="preserve">." at the end of the subsection. </w:t>
      </w:r>
    </w:p>
    <w:p w14:paraId="48E874C3" w14:textId="39E02261" w:rsidR="00C27BFE" w:rsidRDefault="00C27BFE" w:rsidP="00C27BFE">
      <w:r w:rsidRPr="007C5B78">
        <w:t xml:space="preserve">ARTICLE </w:t>
      </w:r>
      <w:r>
        <w:t>2</w:t>
      </w:r>
      <w:r w:rsidRPr="007C5B78">
        <w:t>. The state's implementation of § 9-102(a)(29) of the UCC is amended by deleting the period at the end of the last sentence and substituting: "or programmable money</w:t>
      </w:r>
      <w:r w:rsidR="009A77B3" w:rsidRPr="009A77B3">
        <w:t xml:space="preserve"> </w:t>
      </w:r>
      <w:r w:rsidR="009A77B3">
        <w:t xml:space="preserve">as defined in </w:t>
      </w:r>
      <w:r w:rsidR="000021FC">
        <w:t>[</w:t>
      </w:r>
      <w:r w:rsidR="000021FC" w:rsidRPr="00A946E7">
        <w:rPr>
          <w:i/>
          <w:iCs/>
        </w:rPr>
        <w:t>insert location of Article 3(1)(</w:t>
      </w:r>
      <w:r w:rsidR="002B2118">
        <w:rPr>
          <w:i/>
          <w:iCs/>
        </w:rPr>
        <w:t>2</w:t>
      </w:r>
      <w:r w:rsidR="000021FC" w:rsidRPr="00A946E7">
        <w:rPr>
          <w:i/>
          <w:iCs/>
        </w:rPr>
        <w:t>)</w:t>
      </w:r>
      <w:r w:rsidR="000021FC">
        <w:t>]</w:t>
      </w:r>
      <w:r w:rsidRPr="007C5B78">
        <w:t xml:space="preserve">." </w:t>
      </w:r>
    </w:p>
    <w:p w14:paraId="2C8A43F2" w14:textId="747DEBAD" w:rsidR="00C8085E" w:rsidRDefault="007C5B78">
      <w:r w:rsidRPr="007C5B78">
        <w:t xml:space="preserve">ARTICLE </w:t>
      </w:r>
      <w:r w:rsidR="00C27BFE">
        <w:t>3</w:t>
      </w:r>
      <w:r w:rsidRPr="007C5B78">
        <w:t xml:space="preserve">. </w:t>
      </w:r>
      <w:r w:rsidR="00C27BFE" w:rsidRPr="007C5B78">
        <w:t>The state's code is amended by adding the following part in the appropriate location</w:t>
      </w:r>
      <w:r w:rsidR="000021FC">
        <w:t xml:space="preserve"> of the commercial code</w:t>
      </w:r>
      <w:r w:rsidR="00C27BFE" w:rsidRPr="007C5B78">
        <w:t xml:space="preserve">: </w:t>
      </w:r>
      <w:r w:rsidRPr="007C5B78">
        <w:t xml:space="preserve"> </w:t>
      </w:r>
    </w:p>
    <w:p w14:paraId="6BA4D100" w14:textId="33C44736" w:rsidR="00C27BFE" w:rsidRDefault="00CC180E" w:rsidP="00C27BFE">
      <w:pPr>
        <w:ind w:firstLine="720"/>
      </w:pPr>
      <w:r>
        <w:t>SECTION</w:t>
      </w:r>
      <w:r w:rsidR="00C27BFE" w:rsidRPr="00A946E7">
        <w:t xml:space="preserve"> 1. </w:t>
      </w:r>
      <w:r>
        <w:t>DEFINITIONS</w:t>
      </w:r>
      <w:r w:rsidR="0057657D" w:rsidRPr="00A946E7">
        <w:t xml:space="preserve">.  As used in this </w:t>
      </w:r>
      <w:r w:rsidR="003E46D1">
        <w:t>part</w:t>
      </w:r>
      <w:r w:rsidR="0057657D" w:rsidRPr="00A946E7">
        <w:t>,</w:t>
      </w:r>
    </w:p>
    <w:p w14:paraId="6246768C" w14:textId="0D44A2DA" w:rsidR="006C4298" w:rsidRDefault="006C4298" w:rsidP="00A946E7">
      <w:pPr>
        <w:ind w:left="720"/>
      </w:pPr>
      <w:r w:rsidRPr="006C4298">
        <w:t>(</w:t>
      </w:r>
      <w:r w:rsidR="00DD4C41">
        <w:t>1</w:t>
      </w:r>
      <w:r w:rsidRPr="006C4298">
        <w:t>) "Issuer"</w:t>
      </w:r>
      <w:r>
        <w:t xml:space="preserve"> </w:t>
      </w:r>
      <w:r w:rsidRPr="006C4298">
        <w:t>means</w:t>
      </w:r>
      <w:r>
        <w:t xml:space="preserve"> </w:t>
      </w:r>
      <w:r w:rsidRPr="006C4298">
        <w:t>any</w:t>
      </w:r>
      <w:r>
        <w:t xml:space="preserve"> p</w:t>
      </w:r>
      <w:r w:rsidRPr="006C4298">
        <w:t>erson</w:t>
      </w:r>
      <w:r>
        <w:t xml:space="preserve"> </w:t>
      </w:r>
      <w:r w:rsidRPr="006C4298">
        <w:t>or</w:t>
      </w:r>
      <w:r>
        <w:t xml:space="preserve"> </w:t>
      </w:r>
      <w:r w:rsidRPr="006C4298">
        <w:t>entity</w:t>
      </w:r>
      <w:r>
        <w:t xml:space="preserve"> </w:t>
      </w:r>
      <w:r w:rsidRPr="006C4298">
        <w:t>that</w:t>
      </w:r>
      <w:r>
        <w:t xml:space="preserve"> </w:t>
      </w:r>
      <w:r w:rsidRPr="006C4298">
        <w:t>creates,</w:t>
      </w:r>
      <w:r>
        <w:t xml:space="preserve"> </w:t>
      </w:r>
      <w:r w:rsidRPr="006C4298">
        <w:t>controls,</w:t>
      </w:r>
      <w:r>
        <w:t xml:space="preserve"> </w:t>
      </w:r>
      <w:r w:rsidRPr="006C4298">
        <w:t>or</w:t>
      </w:r>
      <w:r>
        <w:t xml:space="preserve"> </w:t>
      </w:r>
      <w:r w:rsidRPr="006C4298">
        <w:t>distributes</w:t>
      </w:r>
      <w:r>
        <w:t xml:space="preserve"> </w:t>
      </w:r>
      <w:r w:rsidRPr="006C4298">
        <w:t>programmable</w:t>
      </w:r>
      <w:r>
        <w:t xml:space="preserve"> </w:t>
      </w:r>
      <w:r w:rsidRPr="006C4298">
        <w:t>money.</w:t>
      </w:r>
    </w:p>
    <w:p w14:paraId="58294222" w14:textId="2F4498C8" w:rsidR="00C8085E" w:rsidRDefault="007C5B78" w:rsidP="00A946E7">
      <w:pPr>
        <w:ind w:left="720"/>
      </w:pPr>
      <w:r w:rsidRPr="007C5B78">
        <w:t>(</w:t>
      </w:r>
      <w:r w:rsidR="00DD4C41">
        <w:t>2</w:t>
      </w:r>
      <w:r w:rsidRPr="007C5B78">
        <w:t xml:space="preserve">) (a) "Programmable money" means a </w:t>
      </w:r>
      <w:r w:rsidR="00130C9B">
        <w:t xml:space="preserve">digital </w:t>
      </w:r>
      <w:r w:rsidRPr="007C5B78">
        <w:t>medium of exchange, including a digital asset or token, regardless of whether the issuer is a governmental or non-governmental</w:t>
      </w:r>
      <w:r w:rsidR="00130C9B">
        <w:t xml:space="preserve"> entity</w:t>
      </w:r>
      <w:r w:rsidRPr="007C5B78">
        <w:t xml:space="preserve"> </w:t>
      </w:r>
      <w:r w:rsidR="00130C9B">
        <w:t xml:space="preserve">or a </w:t>
      </w:r>
      <w:r w:rsidRPr="007C5B78">
        <w:t>public or private entity</w:t>
      </w:r>
      <w:r w:rsidR="00130C9B">
        <w:t>,</w:t>
      </w:r>
      <w:r w:rsidRPr="007C5B78">
        <w:t xml:space="preserve"> which </w:t>
      </w:r>
      <w:r w:rsidR="00130C9B">
        <w:t>c</w:t>
      </w:r>
      <w:r w:rsidR="00130C9B" w:rsidRPr="007C5B78">
        <w:t xml:space="preserve">an be encoded with specific rules and conditions that allow </w:t>
      </w:r>
      <w:r w:rsidR="00130C9B">
        <w:t>it</w:t>
      </w:r>
      <w:r w:rsidR="00130C9B" w:rsidRPr="007C5B78">
        <w:t xml:space="preserve"> to be automatically controlled and</w:t>
      </w:r>
      <w:r w:rsidR="002E45E6">
        <w:t>/or</w:t>
      </w:r>
      <w:r w:rsidR="00130C9B" w:rsidRPr="007C5B78">
        <w:t xml:space="preserve"> used according to predefined parameters</w:t>
      </w:r>
      <w:r w:rsidR="00130C9B">
        <w:t>, including</w:t>
      </w:r>
      <w:r w:rsidR="002E45E6">
        <w:t xml:space="preserve"> the capability to</w:t>
      </w:r>
      <w:r w:rsidR="00130C9B">
        <w:t>:</w:t>
      </w:r>
    </w:p>
    <w:p w14:paraId="07C078AC" w14:textId="6913F073" w:rsidR="00C8085E" w:rsidRDefault="007C5B78" w:rsidP="00A946E7">
      <w:pPr>
        <w:ind w:left="2160"/>
      </w:pPr>
      <w:r w:rsidRPr="007C5B78">
        <w:t>(</w:t>
      </w:r>
      <w:proofErr w:type="spellStart"/>
      <w:r w:rsidRPr="007C5B78">
        <w:t>i</w:t>
      </w:r>
      <w:proofErr w:type="spellEnd"/>
      <w:r w:rsidRPr="007C5B78">
        <w:t xml:space="preserve">) </w:t>
      </w:r>
      <w:r w:rsidR="002E45E6">
        <w:t>D</w:t>
      </w:r>
      <w:r w:rsidR="00130C9B">
        <w:t>eny or approve</w:t>
      </w:r>
      <w:r w:rsidR="00BA16DC">
        <w:t xml:space="preserve"> a specific transaction</w:t>
      </w:r>
      <w:r w:rsidRPr="007C5B78">
        <w:t xml:space="preserve">; </w:t>
      </w:r>
    </w:p>
    <w:p w14:paraId="66E024A1" w14:textId="13BAFD7B" w:rsidR="00C8085E" w:rsidRDefault="007C5B78" w:rsidP="00A946E7">
      <w:pPr>
        <w:ind w:left="2160"/>
      </w:pPr>
      <w:r w:rsidRPr="007C5B78">
        <w:t xml:space="preserve">(ii) Allow for user-specific restrictions, </w:t>
      </w:r>
      <w:r w:rsidR="00002341">
        <w:t xml:space="preserve">including </w:t>
      </w:r>
      <w:r w:rsidRPr="007C5B78">
        <w:t xml:space="preserve">on </w:t>
      </w:r>
      <w:r w:rsidR="00D33D54">
        <w:t xml:space="preserve">the </w:t>
      </w:r>
      <w:r w:rsidRPr="007C5B78">
        <w:t xml:space="preserve">location, nature, time or identity of </w:t>
      </w:r>
      <w:r w:rsidR="002E45E6">
        <w:t>a</w:t>
      </w:r>
      <w:r w:rsidR="002E45E6" w:rsidRPr="007C5B78">
        <w:t xml:space="preserve"> </w:t>
      </w:r>
      <w:r w:rsidRPr="007C5B78">
        <w:t>transaction</w:t>
      </w:r>
      <w:r w:rsidR="00002341">
        <w:t>,</w:t>
      </w:r>
      <w:r w:rsidRPr="007C5B78">
        <w:t xml:space="preserve"> or </w:t>
      </w:r>
      <w:r w:rsidR="00002341">
        <w:t>on</w:t>
      </w:r>
      <w:r w:rsidR="002E45E6">
        <w:t xml:space="preserve"> </w:t>
      </w:r>
      <w:r w:rsidR="0060073C">
        <w:t xml:space="preserve">a </w:t>
      </w:r>
      <w:r w:rsidR="002E45E6">
        <w:t>specific</w:t>
      </w:r>
      <w:r w:rsidR="0060073C">
        <w:t xml:space="preserve"> party or</w:t>
      </w:r>
      <w:r w:rsidR="00002341">
        <w:t xml:space="preserve"> </w:t>
      </w:r>
      <w:r w:rsidRPr="007C5B78">
        <w:t xml:space="preserve">parties to </w:t>
      </w:r>
      <w:r w:rsidR="002E45E6">
        <w:t>a</w:t>
      </w:r>
      <w:r w:rsidR="002E45E6" w:rsidRPr="007C5B78">
        <w:t xml:space="preserve"> </w:t>
      </w:r>
      <w:r w:rsidRPr="007C5B78">
        <w:t xml:space="preserve">transaction; </w:t>
      </w:r>
    </w:p>
    <w:p w14:paraId="145959FB" w14:textId="586FA3FD" w:rsidR="00C8085E" w:rsidRDefault="007C5B78" w:rsidP="00A946E7">
      <w:pPr>
        <w:ind w:left="2160"/>
      </w:pPr>
      <w:r w:rsidRPr="007C5B78">
        <w:t>(i</w:t>
      </w:r>
      <w:r w:rsidR="00BA16DC">
        <w:t>ii</w:t>
      </w:r>
      <w:r w:rsidRPr="007C5B78">
        <w:t>) Expire or diminish</w:t>
      </w:r>
      <w:r w:rsidR="00BA16DC">
        <w:t xml:space="preserve"> in value</w:t>
      </w:r>
      <w:r w:rsidRPr="007C5B78">
        <w:t xml:space="preserve">, other than subject to ordinary inflation; or </w:t>
      </w:r>
    </w:p>
    <w:p w14:paraId="4BA4DC04" w14:textId="4DF31845" w:rsidR="00C8085E" w:rsidRDefault="007C5B78" w:rsidP="00C8085E">
      <w:pPr>
        <w:ind w:left="1440" w:firstLine="720"/>
      </w:pPr>
      <w:r w:rsidRPr="007C5B78">
        <w:t>(</w:t>
      </w:r>
      <w:r w:rsidR="00BA16DC">
        <w:t>i</w:t>
      </w:r>
      <w:r w:rsidRPr="007C5B78">
        <w:t xml:space="preserve">v) </w:t>
      </w:r>
      <w:r w:rsidR="00C65C77">
        <w:t>Be</w:t>
      </w:r>
      <w:r w:rsidRPr="007C5B78">
        <w:t xml:space="preserve"> used to implement a social credit score system. </w:t>
      </w:r>
    </w:p>
    <w:p w14:paraId="66EBDB9D" w14:textId="77777777" w:rsidR="00002341" w:rsidRDefault="007C5B78" w:rsidP="00C8085E">
      <w:pPr>
        <w:ind w:left="720" w:firstLine="720"/>
      </w:pPr>
      <w:r w:rsidRPr="007C5B78">
        <w:t xml:space="preserve">(b) "Programmable money" does not include </w:t>
      </w:r>
      <w:r w:rsidR="00002341">
        <w:t>the following:</w:t>
      </w:r>
    </w:p>
    <w:p w14:paraId="1ABFE408" w14:textId="7A5A268B" w:rsidR="00864907" w:rsidRDefault="00002341" w:rsidP="00A946E7">
      <w:pPr>
        <w:ind w:left="216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7C5B78" w:rsidRPr="007C5B78">
        <w:t>an electronic payment system which merely transfers non</w:t>
      </w:r>
      <w:r>
        <w:t>-</w:t>
      </w:r>
      <w:r w:rsidR="007C5B78" w:rsidRPr="007C5B78">
        <w:t xml:space="preserve">programmable </w:t>
      </w:r>
      <w:r w:rsidR="00794305">
        <w:t>money</w:t>
      </w:r>
      <w:r w:rsidR="002E45E6">
        <w:t>;</w:t>
      </w:r>
    </w:p>
    <w:p w14:paraId="654E6803" w14:textId="1117365F" w:rsidR="00864907" w:rsidRDefault="00864907" w:rsidP="00A946E7">
      <w:pPr>
        <w:ind w:left="2160"/>
      </w:pPr>
      <w:r>
        <w:lastRenderedPageBreak/>
        <w:t xml:space="preserve">(ii) </w:t>
      </w:r>
      <w:r w:rsidRPr="00864907">
        <w:t>Tokens</w:t>
      </w:r>
      <w:r>
        <w:t xml:space="preserve"> </w:t>
      </w:r>
      <w:r w:rsidRPr="00864907">
        <w:t>used</w:t>
      </w:r>
      <w:r>
        <w:t xml:space="preserve"> </w:t>
      </w:r>
      <w:r w:rsidRPr="00864907">
        <w:t>for</w:t>
      </w:r>
      <w:r>
        <w:t xml:space="preserve"> </w:t>
      </w:r>
      <w:r w:rsidRPr="00864907">
        <w:t>in-game</w:t>
      </w:r>
      <w:r>
        <w:t xml:space="preserve"> </w:t>
      </w:r>
      <w:r w:rsidRPr="00864907">
        <w:t>purposes</w:t>
      </w:r>
      <w:r>
        <w:t xml:space="preserve"> </w:t>
      </w:r>
      <w:r w:rsidRPr="00864907">
        <w:t>or</w:t>
      </w:r>
      <w:r>
        <w:t xml:space="preserve"> </w:t>
      </w:r>
      <w:r w:rsidRPr="00864907">
        <w:t>in-game</w:t>
      </w:r>
      <w:r>
        <w:t xml:space="preserve"> </w:t>
      </w:r>
      <w:r w:rsidRPr="00864907">
        <w:t>currency;</w:t>
      </w:r>
      <w:r>
        <w:t xml:space="preserve"> </w:t>
      </w:r>
      <w:r w:rsidRPr="00864907">
        <w:t>or</w:t>
      </w:r>
    </w:p>
    <w:p w14:paraId="03466999" w14:textId="16EC4E0C" w:rsidR="00C8085E" w:rsidRDefault="00864907" w:rsidP="00A946E7">
      <w:pPr>
        <w:ind w:left="2160"/>
      </w:pPr>
      <w:r>
        <w:t>(iii) Gi</w:t>
      </w:r>
      <w:r w:rsidRPr="00864907">
        <w:t>ft</w:t>
      </w:r>
      <w:r>
        <w:t xml:space="preserve"> </w:t>
      </w:r>
      <w:r w:rsidRPr="00864907">
        <w:t>cards</w:t>
      </w:r>
      <w:r>
        <w:t xml:space="preserve"> </w:t>
      </w:r>
      <w:r w:rsidRPr="00864907">
        <w:t>or</w:t>
      </w:r>
      <w:r>
        <w:t xml:space="preserve"> </w:t>
      </w:r>
      <w:r w:rsidRPr="00864907">
        <w:t>payment</w:t>
      </w:r>
      <w:r>
        <w:t xml:space="preserve"> </w:t>
      </w:r>
      <w:r w:rsidRPr="00864907">
        <w:t>applications</w:t>
      </w:r>
      <w:r>
        <w:t xml:space="preserve"> </w:t>
      </w:r>
      <w:r w:rsidRPr="00864907">
        <w:t>that</w:t>
      </w:r>
      <w:r>
        <w:t xml:space="preserve"> </w:t>
      </w:r>
      <w:r w:rsidRPr="00864907">
        <w:t>transfer</w:t>
      </w:r>
      <w:r>
        <w:t xml:space="preserve"> </w:t>
      </w:r>
      <w:r w:rsidRPr="00864907">
        <w:t>non-programmable</w:t>
      </w:r>
      <w:r>
        <w:t xml:space="preserve"> </w:t>
      </w:r>
      <w:r w:rsidRPr="00864907">
        <w:t>money,</w:t>
      </w:r>
      <w:r>
        <w:t xml:space="preserve"> </w:t>
      </w:r>
      <w:r w:rsidRPr="00864907">
        <w:t>even</w:t>
      </w:r>
      <w:r>
        <w:t xml:space="preserve"> </w:t>
      </w:r>
      <w:r w:rsidRPr="00864907">
        <w:t>if</w:t>
      </w:r>
      <w:r>
        <w:t xml:space="preserve"> </w:t>
      </w:r>
      <w:r w:rsidRPr="00864907">
        <w:t>in</w:t>
      </w:r>
      <w:r>
        <w:t xml:space="preserve"> </w:t>
      </w:r>
      <w:r w:rsidRPr="00864907">
        <w:t>digital</w:t>
      </w:r>
      <w:r>
        <w:t xml:space="preserve"> </w:t>
      </w:r>
      <w:r w:rsidRPr="00864907">
        <w:t>form</w:t>
      </w:r>
      <w:r w:rsidR="007C5B78" w:rsidRPr="007C5B78">
        <w:t xml:space="preserve">. </w:t>
      </w:r>
    </w:p>
    <w:p w14:paraId="178D4958" w14:textId="53FB7603" w:rsidR="006C4298" w:rsidRDefault="006C4298" w:rsidP="00A946E7">
      <w:pPr>
        <w:ind w:left="720"/>
      </w:pPr>
      <w:r>
        <w:t>(</w:t>
      </w:r>
      <w:r w:rsidR="00DD4C41">
        <w:t>3</w:t>
      </w:r>
      <w:r>
        <w:t xml:space="preserve">) “Social credit score system” </w:t>
      </w:r>
      <w:r w:rsidR="006A38EE">
        <w:t xml:space="preserve">for purposes of this </w:t>
      </w:r>
      <w:r w:rsidR="001F3434">
        <w:t>part</w:t>
      </w:r>
      <w:r w:rsidR="006A38EE">
        <w:t xml:space="preserve"> </w:t>
      </w:r>
      <w:r>
        <w:t>means a system to monitor the behavior of persons in order to restrict access to fi</w:t>
      </w:r>
      <w:r w:rsidRPr="006C4298">
        <w:t>nancial</w:t>
      </w:r>
      <w:r>
        <w:t xml:space="preserve"> </w:t>
      </w:r>
      <w:r w:rsidRPr="006C4298">
        <w:t>services</w:t>
      </w:r>
      <w:r>
        <w:t xml:space="preserve"> </w:t>
      </w:r>
      <w:r w:rsidRPr="006C4298">
        <w:t>using</w:t>
      </w:r>
      <w:r>
        <w:t xml:space="preserve"> </w:t>
      </w:r>
      <w:r w:rsidRPr="006C4298">
        <w:t>a</w:t>
      </w:r>
      <w:r>
        <w:t xml:space="preserve"> </w:t>
      </w:r>
      <w:r w:rsidRPr="006C4298">
        <w:t>rating</w:t>
      </w:r>
      <w:r>
        <w:t xml:space="preserve"> </w:t>
      </w:r>
      <w:r w:rsidRPr="006C4298">
        <w:t>or</w:t>
      </w:r>
      <w:r>
        <w:t xml:space="preserve"> </w:t>
      </w:r>
      <w:r w:rsidRPr="006C4298">
        <w:t>score</w:t>
      </w:r>
      <w:r>
        <w:t xml:space="preserve"> </w:t>
      </w:r>
      <w:r w:rsidRPr="006C4298">
        <w:t>based</w:t>
      </w:r>
      <w:r>
        <w:t xml:space="preserve"> </w:t>
      </w:r>
      <w:r w:rsidRPr="006C4298">
        <w:t>on</w:t>
      </w:r>
      <w:r>
        <w:t xml:space="preserve"> </w:t>
      </w:r>
      <w:r w:rsidRPr="006C4298">
        <w:t>lawful</w:t>
      </w:r>
      <w:r>
        <w:t xml:space="preserve"> </w:t>
      </w:r>
      <w:r w:rsidRPr="006C4298">
        <w:t>activities</w:t>
      </w:r>
      <w:r>
        <w:t xml:space="preserve"> </w:t>
      </w:r>
      <w:r w:rsidRPr="006C4298">
        <w:t>or</w:t>
      </w:r>
      <w:r>
        <w:t xml:space="preserve"> </w:t>
      </w:r>
      <w:r w:rsidRPr="006C4298">
        <w:t>factors,</w:t>
      </w:r>
      <w:r>
        <w:t xml:space="preserve"> </w:t>
      </w:r>
      <w:r w:rsidRPr="006C4298">
        <w:t>including</w:t>
      </w:r>
      <w:r>
        <w:t xml:space="preserve"> </w:t>
      </w:r>
      <w:r w:rsidRPr="006C4298">
        <w:t>but</w:t>
      </w:r>
      <w:r>
        <w:t xml:space="preserve"> </w:t>
      </w:r>
      <w:r w:rsidRPr="006C4298">
        <w:t>not</w:t>
      </w:r>
      <w:r>
        <w:t xml:space="preserve"> </w:t>
      </w:r>
      <w:r w:rsidRPr="006C4298">
        <w:t>limited</w:t>
      </w:r>
      <w:r>
        <w:t xml:space="preserve"> </w:t>
      </w:r>
      <w:r w:rsidRPr="006C4298">
        <w:t>to:</w:t>
      </w:r>
    </w:p>
    <w:p w14:paraId="51A43744" w14:textId="7FD91C91" w:rsidR="00C65C77" w:rsidRDefault="00C65C77" w:rsidP="00A946E7">
      <w:pPr>
        <w:ind w:left="1440"/>
      </w:pPr>
      <w:r>
        <w:t>(</w:t>
      </w:r>
      <w:r w:rsidRPr="00C65C77">
        <w:t>a) The</w:t>
      </w:r>
      <w:r>
        <w:t xml:space="preserve"> </w:t>
      </w:r>
      <w:r w:rsidRPr="00C65C77">
        <w:t>factors</w:t>
      </w:r>
      <w:r>
        <w:t xml:space="preserve"> </w:t>
      </w:r>
      <w:r w:rsidRPr="00C65C77">
        <w:t>described</w:t>
      </w:r>
      <w:r>
        <w:t xml:space="preserve"> </w:t>
      </w:r>
      <w:r w:rsidRPr="00C65C77">
        <w:t>in</w:t>
      </w:r>
      <w:r>
        <w:t xml:space="preserve"> [</w:t>
      </w:r>
      <w:r w:rsidR="00D33D54" w:rsidRPr="00A946E7">
        <w:rPr>
          <w:i/>
          <w:iCs/>
        </w:rPr>
        <w:t>Section 2</w:t>
      </w:r>
      <w:r w:rsidR="00D1122B">
        <w:rPr>
          <w:i/>
          <w:iCs/>
        </w:rPr>
        <w:t>(2</w:t>
      </w:r>
      <w:r w:rsidR="00D33D54" w:rsidRPr="00A946E7">
        <w:rPr>
          <w:i/>
          <w:iCs/>
        </w:rPr>
        <w:t>)(</w:t>
      </w:r>
      <w:r w:rsidR="00D1122B">
        <w:rPr>
          <w:i/>
          <w:iCs/>
        </w:rPr>
        <w:t>a</w:t>
      </w:r>
      <w:r w:rsidR="00D33D54" w:rsidRPr="00A946E7">
        <w:rPr>
          <w:i/>
          <w:iCs/>
        </w:rPr>
        <w:t>)</w:t>
      </w:r>
      <w:r w:rsidR="001F3434">
        <w:rPr>
          <w:i/>
          <w:iCs/>
        </w:rPr>
        <w:t>(</w:t>
      </w:r>
      <w:proofErr w:type="spellStart"/>
      <w:r w:rsidR="001F3434">
        <w:rPr>
          <w:i/>
          <w:iCs/>
        </w:rPr>
        <w:t>i</w:t>
      </w:r>
      <w:proofErr w:type="spellEnd"/>
      <w:r w:rsidR="001F3434">
        <w:rPr>
          <w:i/>
          <w:iCs/>
        </w:rPr>
        <w:t>)-(ix)</w:t>
      </w:r>
      <w:r w:rsidR="00D33D54" w:rsidRPr="00A946E7">
        <w:rPr>
          <w:i/>
          <w:iCs/>
        </w:rPr>
        <w:t xml:space="preserve"> of this </w:t>
      </w:r>
      <w:r w:rsidR="001F3434">
        <w:rPr>
          <w:i/>
          <w:iCs/>
        </w:rPr>
        <w:t>part</w:t>
      </w:r>
      <w:r>
        <w:t>]</w:t>
      </w:r>
      <w:r w:rsidRPr="00C65C77">
        <w:t xml:space="preserve">; </w:t>
      </w:r>
    </w:p>
    <w:p w14:paraId="589E8332" w14:textId="1599DD48" w:rsidR="002C0C89" w:rsidRDefault="00C65C77" w:rsidP="00A946E7">
      <w:pPr>
        <w:ind w:left="1440"/>
      </w:pPr>
      <w:r w:rsidRPr="00C65C77">
        <w:t>(b) The</w:t>
      </w:r>
      <w:r>
        <w:t xml:space="preserve"> </w:t>
      </w:r>
      <w:r w:rsidR="001F3434">
        <w:t xml:space="preserve">lawful </w:t>
      </w:r>
      <w:r w:rsidRPr="00C65C77">
        <w:t>manufacture,</w:t>
      </w:r>
      <w:r>
        <w:t xml:space="preserve"> </w:t>
      </w:r>
      <w:r w:rsidRPr="00C65C77">
        <w:t>distribution,</w:t>
      </w:r>
      <w:r>
        <w:t xml:space="preserve"> </w:t>
      </w:r>
      <w:r w:rsidRPr="00C65C77">
        <w:t>sale,</w:t>
      </w:r>
      <w:r>
        <w:t xml:space="preserve"> </w:t>
      </w:r>
      <w:r w:rsidRPr="00C65C77">
        <w:t>purchase,</w:t>
      </w:r>
      <w:r>
        <w:t xml:space="preserve"> </w:t>
      </w:r>
      <w:r w:rsidR="00794305">
        <w:t xml:space="preserve">ownership, </w:t>
      </w:r>
      <w:r w:rsidRPr="00C65C77">
        <w:t>or</w:t>
      </w:r>
      <w:r>
        <w:t xml:space="preserve"> </w:t>
      </w:r>
      <w:r w:rsidRPr="00C65C77">
        <w:t>use</w:t>
      </w:r>
      <w:r>
        <w:t xml:space="preserve"> </w:t>
      </w:r>
      <w:r w:rsidRPr="00C65C77">
        <w:t>of</w:t>
      </w:r>
      <w:r>
        <w:t xml:space="preserve"> </w:t>
      </w:r>
      <w:r w:rsidRPr="00C65C77">
        <w:t>firearms, including</w:t>
      </w:r>
      <w:r w:rsidR="002C0C89">
        <w:t xml:space="preserve"> </w:t>
      </w:r>
      <w:r w:rsidRPr="00C65C77">
        <w:t>firearm</w:t>
      </w:r>
      <w:r w:rsidR="002C0C89">
        <w:t xml:space="preserve"> </w:t>
      </w:r>
      <w:r w:rsidRPr="00C65C77">
        <w:t>accessories</w:t>
      </w:r>
      <w:r w:rsidR="002C0C89">
        <w:t xml:space="preserve"> </w:t>
      </w:r>
      <w:r w:rsidRPr="00C65C77">
        <w:t>and</w:t>
      </w:r>
      <w:r w:rsidR="002C0C89">
        <w:t xml:space="preserve"> </w:t>
      </w:r>
      <w:r w:rsidRPr="00C65C77">
        <w:t>ammunition;</w:t>
      </w:r>
      <w:r w:rsidR="002C0C89">
        <w:t xml:space="preserve"> </w:t>
      </w:r>
    </w:p>
    <w:p w14:paraId="70D445B5" w14:textId="21FDD772" w:rsidR="002C0C89" w:rsidRDefault="00C65C77" w:rsidP="00A946E7">
      <w:pPr>
        <w:ind w:left="1440"/>
      </w:pPr>
      <w:r w:rsidRPr="00C65C77">
        <w:t>(c) Fossil</w:t>
      </w:r>
      <w:r w:rsidR="002C0C89">
        <w:t xml:space="preserve"> </w:t>
      </w:r>
      <w:r w:rsidRPr="00C65C77">
        <w:t>fuel</w:t>
      </w:r>
      <w:r w:rsidR="00794305">
        <w:t>, timber, mining,</w:t>
      </w:r>
      <w:r w:rsidR="002C0C89">
        <w:t xml:space="preserve"> </w:t>
      </w:r>
      <w:r w:rsidRPr="00C65C77">
        <w:t>or</w:t>
      </w:r>
      <w:r w:rsidR="002C0C89">
        <w:t xml:space="preserve"> </w:t>
      </w:r>
      <w:r w:rsidRPr="00C65C77">
        <w:t>agricultural</w:t>
      </w:r>
      <w:r w:rsidR="001F3434">
        <w:t>-related</w:t>
      </w:r>
      <w:r w:rsidR="002C0C89">
        <w:t xml:space="preserve"> </w:t>
      </w:r>
      <w:r w:rsidRPr="00C65C77">
        <w:t xml:space="preserve">activities; </w:t>
      </w:r>
    </w:p>
    <w:p w14:paraId="63C37FB5" w14:textId="16CBEA9D" w:rsidR="002C0C89" w:rsidRDefault="00C65C77" w:rsidP="00A946E7">
      <w:pPr>
        <w:ind w:left="1440"/>
      </w:pPr>
      <w:r w:rsidRPr="00C65C77">
        <w:t>(d) Lawful</w:t>
      </w:r>
      <w:r w:rsidR="002C0C89">
        <w:t xml:space="preserve"> </w:t>
      </w:r>
      <w:r w:rsidRPr="00C65C77">
        <w:t>advocacy</w:t>
      </w:r>
      <w:r w:rsidR="002C0C89">
        <w:t xml:space="preserve"> </w:t>
      </w:r>
      <w:r w:rsidRPr="00C65C77">
        <w:t>of</w:t>
      </w:r>
      <w:r w:rsidR="002C0C89">
        <w:t xml:space="preserve"> </w:t>
      </w:r>
      <w:r w:rsidRPr="00C65C77">
        <w:t>the</w:t>
      </w:r>
      <w:r w:rsidR="002C0C89">
        <w:t xml:space="preserve"> </w:t>
      </w:r>
      <w:r w:rsidRPr="00C65C77">
        <w:t>state</w:t>
      </w:r>
      <w:r w:rsidR="002C0C89">
        <w:t xml:space="preserve"> </w:t>
      </w:r>
      <w:r w:rsidRPr="00C65C77">
        <w:t>or</w:t>
      </w:r>
      <w:r w:rsidR="002C0C89">
        <w:t xml:space="preserve"> </w:t>
      </w:r>
      <w:r w:rsidRPr="00C65C77">
        <w:t>federal</w:t>
      </w:r>
      <w:r w:rsidR="002C0C89">
        <w:t xml:space="preserve"> </w:t>
      </w:r>
      <w:r w:rsidRPr="00C65C77">
        <w:t>government</w:t>
      </w:r>
      <w:r w:rsidR="00837FE2">
        <w:t>, including in combatting illegal immigration, drug trafficking, or human trafficking</w:t>
      </w:r>
      <w:r w:rsidRPr="00C65C77">
        <w:t>;</w:t>
      </w:r>
    </w:p>
    <w:p w14:paraId="69043572" w14:textId="536BE7E1" w:rsidR="002C0C89" w:rsidRDefault="00C65C77" w:rsidP="00A946E7">
      <w:pPr>
        <w:ind w:left="1440"/>
      </w:pPr>
      <w:r w:rsidRPr="00C65C77">
        <w:t>(e) Refusal</w:t>
      </w:r>
      <w:r w:rsidR="001F3434">
        <w:t xml:space="preserve"> or failure</w:t>
      </w:r>
      <w:r w:rsidR="002C0C89">
        <w:t xml:space="preserve"> </w:t>
      </w:r>
      <w:r w:rsidRPr="00C65C77">
        <w:t>to</w:t>
      </w:r>
      <w:r w:rsidR="002C0C89">
        <w:t xml:space="preserve"> </w:t>
      </w:r>
      <w:r w:rsidRPr="00C65C77">
        <w:t>participate</w:t>
      </w:r>
      <w:r w:rsidR="002C0C89">
        <w:t xml:space="preserve"> </w:t>
      </w:r>
      <w:r w:rsidRPr="00C65C77">
        <w:t>in</w:t>
      </w:r>
      <w:r w:rsidR="002C0C89">
        <w:t xml:space="preserve"> </w:t>
      </w:r>
      <w:r w:rsidRPr="00C65C77">
        <w:t>or</w:t>
      </w:r>
      <w:r w:rsidR="002C0C89">
        <w:t xml:space="preserve"> </w:t>
      </w:r>
      <w:r w:rsidRPr="00C65C77">
        <w:t>to</w:t>
      </w:r>
      <w:r w:rsidR="002C0C89">
        <w:t xml:space="preserve"> </w:t>
      </w:r>
      <w:r w:rsidRPr="00C65C77">
        <w:t>meet</w:t>
      </w:r>
      <w:r w:rsidR="002C0C89">
        <w:t xml:space="preserve"> </w:t>
      </w:r>
      <w:r w:rsidRPr="00C65C77">
        <w:t>social</w:t>
      </w:r>
      <w:r w:rsidR="002C0C89">
        <w:t xml:space="preserve"> </w:t>
      </w:r>
      <w:r w:rsidRPr="00C65C77">
        <w:t>governance</w:t>
      </w:r>
      <w:r w:rsidR="002C0C89">
        <w:t xml:space="preserve"> </w:t>
      </w:r>
      <w:r w:rsidRPr="00C65C77">
        <w:t>standards,</w:t>
      </w:r>
      <w:r w:rsidR="002C0C89">
        <w:t xml:space="preserve"> </w:t>
      </w:r>
      <w:r w:rsidRPr="00C65C77">
        <w:t>environmental standards, or employment composition standards</w:t>
      </w:r>
      <w:r w:rsidR="00837FE2">
        <w:t xml:space="preserve"> </w:t>
      </w:r>
      <w:r w:rsidR="001F3434">
        <w:t xml:space="preserve">including those </w:t>
      </w:r>
      <w:r w:rsidR="00837FE2">
        <w:t>based on characteristics protected under Title VI of the Civil Rights Act of 1964 (42 USC §2000d, et seq.)</w:t>
      </w:r>
      <w:r w:rsidRPr="00C65C77">
        <w:t>, provided</w:t>
      </w:r>
      <w:r w:rsidR="002C0C89">
        <w:t xml:space="preserve"> </w:t>
      </w:r>
      <w:r w:rsidRPr="00C65C77">
        <w:t>the</w:t>
      </w:r>
      <w:r w:rsidR="002C0C89">
        <w:t xml:space="preserve"> </w:t>
      </w:r>
      <w:r w:rsidRPr="00C65C77">
        <w:t>person</w:t>
      </w:r>
      <w:r w:rsidR="002C0C89">
        <w:t xml:space="preserve"> </w:t>
      </w:r>
      <w:r w:rsidRPr="00C65C77">
        <w:t>is</w:t>
      </w:r>
      <w:r w:rsidR="002C0C89">
        <w:t xml:space="preserve"> </w:t>
      </w:r>
      <w:r w:rsidRPr="00C65C77">
        <w:t>in</w:t>
      </w:r>
      <w:r w:rsidR="002C0C89">
        <w:t xml:space="preserve"> </w:t>
      </w:r>
      <w:r w:rsidRPr="00C65C77">
        <w:t>compliance</w:t>
      </w:r>
      <w:r w:rsidR="002C0C89">
        <w:t xml:space="preserve"> </w:t>
      </w:r>
      <w:r w:rsidRPr="00C65C77">
        <w:t>with</w:t>
      </w:r>
      <w:r w:rsidR="002C0C89">
        <w:t xml:space="preserve"> </w:t>
      </w:r>
      <w:r w:rsidRPr="00C65C77">
        <w:t>applicable</w:t>
      </w:r>
      <w:r w:rsidR="002C0C89">
        <w:t xml:space="preserve"> </w:t>
      </w:r>
      <w:r w:rsidRPr="00C65C77">
        <w:t>state</w:t>
      </w:r>
      <w:r w:rsidR="002C0C89">
        <w:t xml:space="preserve"> </w:t>
      </w:r>
      <w:r w:rsidRPr="00C65C77">
        <w:t>and</w:t>
      </w:r>
      <w:r w:rsidR="002C0C89">
        <w:t xml:space="preserve"> </w:t>
      </w:r>
      <w:r w:rsidRPr="00C65C77">
        <w:t>federal</w:t>
      </w:r>
      <w:r w:rsidR="002C0C89">
        <w:t xml:space="preserve"> </w:t>
      </w:r>
      <w:r w:rsidRPr="00C65C77">
        <w:t>law;</w:t>
      </w:r>
    </w:p>
    <w:p w14:paraId="3600536C" w14:textId="0106FF4F" w:rsidR="00837FE2" w:rsidRDefault="00C65C77">
      <w:pPr>
        <w:ind w:left="1440"/>
      </w:pPr>
      <w:r w:rsidRPr="00C65C77">
        <w:t>(f) Participation</w:t>
      </w:r>
      <w:r w:rsidR="002C0C89">
        <w:t xml:space="preserve"> </w:t>
      </w:r>
      <w:r w:rsidRPr="00C65C77">
        <w:t>in</w:t>
      </w:r>
      <w:r w:rsidR="002C0C89">
        <w:t xml:space="preserve"> </w:t>
      </w:r>
      <w:r w:rsidRPr="00C65C77">
        <w:t>or</w:t>
      </w:r>
      <w:r w:rsidR="002C0C89">
        <w:t xml:space="preserve"> </w:t>
      </w:r>
      <w:r w:rsidRPr="00C65C77">
        <w:t>refusal</w:t>
      </w:r>
      <w:r w:rsidR="002C0C89">
        <w:t xml:space="preserve"> </w:t>
      </w:r>
      <w:r w:rsidRPr="00C65C77">
        <w:t>to</w:t>
      </w:r>
      <w:r w:rsidR="002C0C89">
        <w:t xml:space="preserve"> </w:t>
      </w:r>
      <w:r w:rsidRPr="00C65C77">
        <w:t>participate</w:t>
      </w:r>
      <w:r w:rsidR="002C0C89">
        <w:t xml:space="preserve"> </w:t>
      </w:r>
      <w:r w:rsidRPr="00C65C77">
        <w:t>in</w:t>
      </w:r>
      <w:r w:rsidR="002C0C89">
        <w:t xml:space="preserve"> </w:t>
      </w:r>
      <w:r w:rsidRPr="00C65C77">
        <w:t>social</w:t>
      </w:r>
      <w:r w:rsidR="002C0C89">
        <w:t xml:space="preserve"> </w:t>
      </w:r>
      <w:r w:rsidRPr="00C65C77">
        <w:t>justice</w:t>
      </w:r>
      <w:r w:rsidR="002C0C89">
        <w:t xml:space="preserve"> </w:t>
      </w:r>
      <w:r w:rsidRPr="00C65C77">
        <w:t>programs,</w:t>
      </w:r>
      <w:r w:rsidR="002C0C89">
        <w:t xml:space="preserve"> </w:t>
      </w:r>
      <w:r w:rsidRPr="00C65C77">
        <w:t>such</w:t>
      </w:r>
      <w:r w:rsidR="002C0C89">
        <w:t xml:space="preserve"> </w:t>
      </w:r>
      <w:r w:rsidRPr="00C65C77">
        <w:t>as</w:t>
      </w:r>
      <w:r w:rsidR="002C0C89">
        <w:t xml:space="preserve"> </w:t>
      </w:r>
      <w:r w:rsidRPr="00C65C77">
        <w:t>diversity,</w:t>
      </w:r>
      <w:r w:rsidR="002C0C89">
        <w:t xml:space="preserve"> </w:t>
      </w:r>
      <w:r w:rsidRPr="00C65C77">
        <w:t>equity,</w:t>
      </w:r>
      <w:r w:rsidR="002C0C89">
        <w:t xml:space="preserve"> </w:t>
      </w:r>
      <w:r w:rsidRPr="00C65C77">
        <w:t>and</w:t>
      </w:r>
      <w:r w:rsidR="002C0C89">
        <w:t xml:space="preserve"> </w:t>
      </w:r>
      <w:r w:rsidRPr="00C65C77">
        <w:t>inclusion</w:t>
      </w:r>
      <w:r w:rsidR="00837FE2">
        <w:t>;</w:t>
      </w:r>
    </w:p>
    <w:p w14:paraId="52B1A03E" w14:textId="70E5E9BE" w:rsidR="00C65C77" w:rsidRDefault="00837FE2" w:rsidP="00A946E7">
      <w:pPr>
        <w:ind w:left="1440"/>
      </w:pPr>
      <w:r>
        <w:t>(g) Support</w:t>
      </w:r>
      <w:r w:rsidR="00493C33">
        <w:t xml:space="preserve"> or</w:t>
      </w:r>
      <w:r>
        <w:t xml:space="preserve"> advocacy</w:t>
      </w:r>
      <w:r w:rsidR="00493C33">
        <w:t xml:space="preserve"> of</w:t>
      </w:r>
      <w:r>
        <w:t xml:space="preserve">, </w:t>
      </w:r>
      <w:r w:rsidR="00493C33">
        <w:t xml:space="preserve">employment by or of, engagement with, </w:t>
      </w:r>
      <w:r>
        <w:t xml:space="preserve">or </w:t>
      </w:r>
      <w:r w:rsidR="00493C33">
        <w:t xml:space="preserve">any </w:t>
      </w:r>
      <w:r>
        <w:t xml:space="preserve">other </w:t>
      </w:r>
      <w:r w:rsidR="00493C33">
        <w:t xml:space="preserve">lawful </w:t>
      </w:r>
      <w:r>
        <w:t>association with persons</w:t>
      </w:r>
      <w:r w:rsidR="00493C33">
        <w:t xml:space="preserve"> engaging in lawful activities or </w:t>
      </w:r>
      <w:r w:rsidR="00280C04">
        <w:t xml:space="preserve">associated with factors </w:t>
      </w:r>
      <w:r w:rsidR="00493C33">
        <w:t xml:space="preserve">enumerated </w:t>
      </w:r>
      <w:r w:rsidR="00280C04">
        <w:t>in this part</w:t>
      </w:r>
      <w:r w:rsidR="001F3434">
        <w:t>; and</w:t>
      </w:r>
    </w:p>
    <w:p w14:paraId="58F9A243" w14:textId="68FFB656" w:rsidR="001F3434" w:rsidRDefault="001F3434" w:rsidP="00A946E7">
      <w:pPr>
        <w:ind w:left="1440"/>
      </w:pPr>
      <w:r>
        <w:t>(h) Any other lawful acts or behavior.</w:t>
      </w:r>
    </w:p>
    <w:p w14:paraId="6C64291D" w14:textId="14B38820" w:rsidR="00C8085E" w:rsidRPr="00CC180E" w:rsidRDefault="00CC180E" w:rsidP="00C8085E">
      <w:pPr>
        <w:ind w:firstLine="720"/>
      </w:pPr>
      <w:r w:rsidRPr="00CC180E">
        <w:t>SECTION 2. PROGRAMMABLE MONEY – UNLAWFUL ACTS AND PRACTICES</w:t>
      </w:r>
    </w:p>
    <w:p w14:paraId="30C2BD4D" w14:textId="216CBE52" w:rsidR="00073B53" w:rsidRDefault="00073B53" w:rsidP="00A946E7">
      <w:pPr>
        <w:ind w:firstLine="720"/>
      </w:pPr>
      <w:r>
        <w:t xml:space="preserve">(1) It </w:t>
      </w:r>
      <w:r w:rsidR="00915976">
        <w:t xml:space="preserve">is unlawful </w:t>
      </w:r>
      <w:r>
        <w:t xml:space="preserve">to require the use of programmable money for any transaction without offering a </w:t>
      </w:r>
      <w:r w:rsidRPr="00CC180E">
        <w:t xml:space="preserve">non-programmable </w:t>
      </w:r>
      <w:r>
        <w:t xml:space="preserve">money </w:t>
      </w:r>
      <w:r w:rsidRPr="00CC180E">
        <w:t>alternative</w:t>
      </w:r>
      <w:r>
        <w:t xml:space="preserve"> free of charge;</w:t>
      </w:r>
    </w:p>
    <w:p w14:paraId="4E61B7FE" w14:textId="2ECA3E90" w:rsidR="00F43E6A" w:rsidRDefault="00F43E6A" w:rsidP="00CC180E">
      <w:pPr>
        <w:ind w:firstLine="720"/>
      </w:pPr>
      <w:r>
        <w:t>(</w:t>
      </w:r>
      <w:r w:rsidR="00073B53">
        <w:t>2</w:t>
      </w:r>
      <w:r>
        <w:t xml:space="preserve">) It </w:t>
      </w:r>
      <w:r w:rsidR="00915976">
        <w:t xml:space="preserve">is unlawful </w:t>
      </w:r>
      <w:r>
        <w:t>for an issuer to:</w:t>
      </w:r>
    </w:p>
    <w:p w14:paraId="374FD2B0" w14:textId="4165E677" w:rsidR="00F43E6A" w:rsidRDefault="00F43E6A" w:rsidP="00A946E7">
      <w:pPr>
        <w:ind w:left="1440"/>
      </w:pPr>
      <w:r>
        <w:t>(</w:t>
      </w:r>
      <w:r w:rsidR="00073B53">
        <w:t>a</w:t>
      </w:r>
      <w:r>
        <w:t>) Deny a transaction</w:t>
      </w:r>
      <w:r w:rsidR="00180376">
        <w:t>,</w:t>
      </w:r>
      <w:r w:rsidR="00DD4C41">
        <w:t xml:space="preserve"> </w:t>
      </w:r>
      <w:r w:rsidR="00180376">
        <w:t xml:space="preserve">allow a transaction to fail, or </w:t>
      </w:r>
      <w:r w:rsidR="00DD4C41">
        <w:t>restrict or terminate service</w:t>
      </w:r>
      <w:r>
        <w:t xml:space="preserve"> based on any of the following factors:</w:t>
      </w:r>
    </w:p>
    <w:p w14:paraId="72320D16" w14:textId="4A4AB2E7" w:rsidR="001D0368" w:rsidRDefault="001D0368" w:rsidP="00A946E7">
      <w:pPr>
        <w:ind w:left="2160"/>
      </w:pPr>
      <w:r>
        <w:t>(</w:t>
      </w:r>
      <w:proofErr w:type="spellStart"/>
      <w:r>
        <w:t>i</w:t>
      </w:r>
      <w:proofErr w:type="spellEnd"/>
      <w:r>
        <w:t>) S</w:t>
      </w:r>
      <w:r w:rsidRPr="001D0368">
        <w:t>ex,</w:t>
      </w:r>
      <w:r>
        <w:t xml:space="preserve"> </w:t>
      </w:r>
      <w:r w:rsidRPr="001D0368">
        <w:t>race,</w:t>
      </w:r>
      <w:r>
        <w:t xml:space="preserve"> </w:t>
      </w:r>
      <w:r w:rsidR="00FE1606">
        <w:t xml:space="preserve">skin-color, </w:t>
      </w:r>
      <w:r w:rsidRPr="001D0368">
        <w:t>ethnicity</w:t>
      </w:r>
      <w:r w:rsidR="00FE1606">
        <w:t>, or sexual orientation</w:t>
      </w:r>
      <w:r w:rsidRPr="001D0368">
        <w:t xml:space="preserve">; </w:t>
      </w:r>
    </w:p>
    <w:p w14:paraId="2D7D7711" w14:textId="5CB0C4EE" w:rsidR="001D0368" w:rsidRDefault="001D0368" w:rsidP="00A946E7">
      <w:pPr>
        <w:ind w:left="2160"/>
      </w:pPr>
      <w:r w:rsidRPr="001D0368">
        <w:lastRenderedPageBreak/>
        <w:t>(ii) Political</w:t>
      </w:r>
      <w:r>
        <w:t xml:space="preserve"> </w:t>
      </w:r>
      <w:r w:rsidRPr="001D0368">
        <w:t>opinion,</w:t>
      </w:r>
      <w:r>
        <w:t xml:space="preserve"> </w:t>
      </w:r>
      <w:r w:rsidR="00FE1606">
        <w:t xml:space="preserve">affiliation, or </w:t>
      </w:r>
      <w:r w:rsidRPr="001D0368">
        <w:t xml:space="preserve">speech; </w:t>
      </w:r>
    </w:p>
    <w:p w14:paraId="79986367" w14:textId="27C63697" w:rsidR="000A49C1" w:rsidRDefault="000A49C1" w:rsidP="00A946E7">
      <w:pPr>
        <w:ind w:left="2160"/>
      </w:pPr>
      <w:r>
        <w:t>(iii) Religious beliefs, religious exercise, or religious affiliation;</w:t>
      </w:r>
    </w:p>
    <w:p w14:paraId="0C8F2A5A" w14:textId="1E596048" w:rsidR="000A49C1" w:rsidRDefault="000A49C1" w:rsidP="00A946E7">
      <w:pPr>
        <w:ind w:left="2160"/>
      </w:pPr>
      <w:r>
        <w:t>(iv) Any other lawful opinions, affiliations, or speech</w:t>
      </w:r>
      <w:r w:rsidR="00915976">
        <w:t>;</w:t>
      </w:r>
    </w:p>
    <w:p w14:paraId="08EE60B0" w14:textId="047FD514" w:rsidR="001D0368" w:rsidRDefault="001D0368" w:rsidP="00A946E7">
      <w:pPr>
        <w:ind w:left="2160"/>
      </w:pPr>
      <w:r w:rsidRPr="001D0368">
        <w:t>(</w:t>
      </w:r>
      <w:r w:rsidR="001F3434">
        <w:t>v</w:t>
      </w:r>
      <w:r w:rsidRPr="001D0368">
        <w:t>)</w:t>
      </w:r>
      <w:r>
        <w:t xml:space="preserve"> </w:t>
      </w:r>
      <w:r w:rsidRPr="001D0368">
        <w:t>Medical</w:t>
      </w:r>
      <w:r>
        <w:t xml:space="preserve"> </w:t>
      </w:r>
      <w:r w:rsidRPr="001D0368">
        <w:t>history,</w:t>
      </w:r>
      <w:r>
        <w:t xml:space="preserve"> </w:t>
      </w:r>
      <w:r w:rsidRPr="001D0368">
        <w:t>including</w:t>
      </w:r>
      <w:r>
        <w:t xml:space="preserve"> </w:t>
      </w:r>
      <w:r w:rsidR="00FE1606">
        <w:t xml:space="preserve">diagnosis, </w:t>
      </w:r>
      <w:r w:rsidRPr="001D0368">
        <w:t>vaccination</w:t>
      </w:r>
      <w:r>
        <w:t xml:space="preserve"> </w:t>
      </w:r>
      <w:r w:rsidRPr="001D0368">
        <w:t>status</w:t>
      </w:r>
      <w:r w:rsidR="00FE1606">
        <w:t>, or participation/non-participation in any treatment or procedure</w:t>
      </w:r>
      <w:r w:rsidRPr="001D0368">
        <w:t xml:space="preserve">; </w:t>
      </w:r>
    </w:p>
    <w:p w14:paraId="6556CDCD" w14:textId="354D7132" w:rsidR="001D0368" w:rsidRDefault="001D0368" w:rsidP="00A946E7">
      <w:pPr>
        <w:ind w:left="2160"/>
      </w:pPr>
      <w:r w:rsidRPr="001D0368">
        <w:t>(v</w:t>
      </w:r>
      <w:r w:rsidR="001F3434">
        <w:t>i</w:t>
      </w:r>
      <w:r w:rsidRPr="001D0368">
        <w:t>) Purchase</w:t>
      </w:r>
      <w:r>
        <w:t xml:space="preserve"> </w:t>
      </w:r>
      <w:r w:rsidRPr="001D0368">
        <w:t>and</w:t>
      </w:r>
      <w:r>
        <w:t xml:space="preserve">/or </w:t>
      </w:r>
      <w:r w:rsidRPr="001D0368">
        <w:t>browsing</w:t>
      </w:r>
      <w:r>
        <w:t xml:space="preserve"> </w:t>
      </w:r>
      <w:r w:rsidRPr="001D0368">
        <w:t xml:space="preserve">history; </w:t>
      </w:r>
    </w:p>
    <w:p w14:paraId="419029EE" w14:textId="4B82FA31" w:rsidR="001D0368" w:rsidRDefault="001D0368" w:rsidP="00A946E7">
      <w:pPr>
        <w:ind w:left="2160"/>
      </w:pPr>
      <w:r w:rsidRPr="001D0368">
        <w:t>(v</w:t>
      </w:r>
      <w:r w:rsidR="001F3434">
        <w:t>ii</w:t>
      </w:r>
      <w:r w:rsidRPr="001D0368">
        <w:t>) Geographical</w:t>
      </w:r>
      <w:r>
        <w:t xml:space="preserve"> </w:t>
      </w:r>
      <w:r w:rsidRPr="001D0368">
        <w:t>location</w:t>
      </w:r>
      <w:r w:rsidR="00861EFB">
        <w:t>,</w:t>
      </w:r>
      <w:r w:rsidR="00FE1606">
        <w:t xml:space="preserve"> place of residence</w:t>
      </w:r>
      <w:r w:rsidR="00861EFB">
        <w:t>, or location history</w:t>
      </w:r>
      <w:r w:rsidRPr="001D0368">
        <w:t xml:space="preserve">; </w:t>
      </w:r>
    </w:p>
    <w:p w14:paraId="2D8D94DC" w14:textId="682486F7" w:rsidR="001D0368" w:rsidRDefault="001D0368" w:rsidP="00A946E7">
      <w:pPr>
        <w:ind w:left="2160"/>
      </w:pPr>
      <w:r w:rsidRPr="001D0368">
        <w:t>(vi</w:t>
      </w:r>
      <w:r w:rsidR="001F3434">
        <w:t>ii</w:t>
      </w:r>
      <w:r w:rsidRPr="001D0368">
        <w:t xml:space="preserve">) </w:t>
      </w:r>
      <w:r w:rsidR="00FE1606">
        <w:t>T</w:t>
      </w:r>
      <w:r w:rsidRPr="001D0368">
        <w:t>rade,</w:t>
      </w:r>
      <w:r>
        <w:t xml:space="preserve"> </w:t>
      </w:r>
      <w:r w:rsidRPr="001D0368">
        <w:t>profession,</w:t>
      </w:r>
      <w:r>
        <w:t xml:space="preserve"> </w:t>
      </w:r>
      <w:r w:rsidRPr="001D0368">
        <w:t>or</w:t>
      </w:r>
      <w:r>
        <w:t xml:space="preserve"> </w:t>
      </w:r>
      <w:r w:rsidRPr="001D0368">
        <w:t>business</w:t>
      </w:r>
      <w:r>
        <w:t xml:space="preserve"> </w:t>
      </w:r>
      <w:r w:rsidRPr="001D0368">
        <w:t>activity</w:t>
      </w:r>
      <w:r w:rsidR="00204DF9">
        <w:t>,</w:t>
      </w:r>
      <w:r w:rsidR="00204DF9" w:rsidRPr="00204DF9">
        <w:t xml:space="preserve"> including with</w:t>
      </w:r>
      <w:r w:rsidR="00204DF9">
        <w:t>in</w:t>
      </w:r>
      <w:r w:rsidR="00204DF9" w:rsidRPr="00204DF9">
        <w:t xml:space="preserve"> a particular industry</w:t>
      </w:r>
      <w:r w:rsidRPr="001D0368">
        <w:t xml:space="preserve">; </w:t>
      </w:r>
    </w:p>
    <w:p w14:paraId="61C4F2F4" w14:textId="7C184BE0" w:rsidR="001F3434" w:rsidRDefault="001F3434" w:rsidP="00A946E7">
      <w:pPr>
        <w:ind w:left="2160"/>
      </w:pPr>
      <w:r w:rsidRPr="001D0368">
        <w:t>(</w:t>
      </w:r>
      <w:r>
        <w:t>ix</w:t>
      </w:r>
      <w:r w:rsidRPr="001D0368">
        <w:t>)</w:t>
      </w:r>
      <w:r>
        <w:t xml:space="preserve"> </w:t>
      </w:r>
      <w:r w:rsidRPr="001D0368">
        <w:t>Any</w:t>
      </w:r>
      <w:r>
        <w:t xml:space="preserve"> </w:t>
      </w:r>
      <w:r w:rsidRPr="001D0368">
        <w:t>lawful</w:t>
      </w:r>
      <w:r>
        <w:t xml:space="preserve"> </w:t>
      </w:r>
      <w:r w:rsidRPr="001D0368">
        <w:t>activity;</w:t>
      </w:r>
      <w:r>
        <w:t xml:space="preserve"> </w:t>
      </w:r>
      <w:r w:rsidRPr="001D0368">
        <w:t xml:space="preserve">or </w:t>
      </w:r>
    </w:p>
    <w:p w14:paraId="5AB8F6B7" w14:textId="57143BDB" w:rsidR="001D0368" w:rsidRDefault="001D0368" w:rsidP="002C2F3E">
      <w:pPr>
        <w:ind w:left="2160"/>
      </w:pPr>
      <w:r w:rsidRPr="001D0368">
        <w:t>(</w:t>
      </w:r>
      <w:r w:rsidR="001F3434">
        <w:t>x</w:t>
      </w:r>
      <w:r w:rsidRPr="001D0368">
        <w:t>)</w:t>
      </w:r>
      <w:r>
        <w:t xml:space="preserve"> </w:t>
      </w:r>
      <w:r w:rsidR="00FE1606">
        <w:t xml:space="preserve">A rating, scoring, analysis, tabulation, or action related to </w:t>
      </w:r>
      <w:r w:rsidRPr="001D0368">
        <w:t>a</w:t>
      </w:r>
      <w:r>
        <w:t xml:space="preserve"> </w:t>
      </w:r>
      <w:r w:rsidRPr="001D0368">
        <w:t>social</w:t>
      </w:r>
      <w:r>
        <w:t xml:space="preserve"> </w:t>
      </w:r>
      <w:r w:rsidRPr="001D0368">
        <w:t>credit</w:t>
      </w:r>
      <w:r>
        <w:t xml:space="preserve"> </w:t>
      </w:r>
      <w:r w:rsidRPr="001D0368">
        <w:t>score</w:t>
      </w:r>
      <w:r>
        <w:t xml:space="preserve"> </w:t>
      </w:r>
      <w:r w:rsidRPr="001D0368">
        <w:t>system</w:t>
      </w:r>
      <w:r>
        <w:t xml:space="preserve"> </w:t>
      </w:r>
      <w:r w:rsidRPr="001D0368">
        <w:t>or</w:t>
      </w:r>
      <w:r>
        <w:t xml:space="preserve"> </w:t>
      </w:r>
      <w:r w:rsidRPr="001D0368">
        <w:t>similar</w:t>
      </w:r>
      <w:r>
        <w:t xml:space="preserve"> </w:t>
      </w:r>
      <w:r w:rsidRPr="001D0368">
        <w:t>evaluation;</w:t>
      </w:r>
      <w:r>
        <w:t xml:space="preserve"> </w:t>
      </w:r>
      <w:r w:rsidRPr="001D0368">
        <w:t>or</w:t>
      </w:r>
    </w:p>
    <w:p w14:paraId="6836B2A5" w14:textId="6F4F7471" w:rsidR="001D0368" w:rsidRDefault="001D0368" w:rsidP="00A946E7">
      <w:pPr>
        <w:ind w:left="1440"/>
      </w:pPr>
      <w:r>
        <w:t>(</w:t>
      </w:r>
      <w:r w:rsidR="00073B53">
        <w:t>b</w:t>
      </w:r>
      <w:r>
        <w:t>)</w:t>
      </w:r>
      <w:r w:rsidRPr="001D0368">
        <w:t xml:space="preserve"> Cause</w:t>
      </w:r>
      <w:r>
        <w:t xml:space="preserve"> </w:t>
      </w:r>
      <w:r w:rsidRPr="001D0368">
        <w:t>or</w:t>
      </w:r>
      <w:r>
        <w:t xml:space="preserve"> </w:t>
      </w:r>
      <w:r w:rsidRPr="001D0368">
        <w:t>allow</w:t>
      </w:r>
      <w:r w:rsidR="005A02B9">
        <w:t xml:space="preserve"> for</w:t>
      </w:r>
      <w:r w:rsidRPr="001D0368">
        <w:t>,</w:t>
      </w:r>
      <w:r>
        <w:t xml:space="preserve"> </w:t>
      </w:r>
      <w:r w:rsidRPr="001D0368">
        <w:t>through</w:t>
      </w:r>
      <w:r>
        <w:t xml:space="preserve"> </w:t>
      </w:r>
      <w:r w:rsidRPr="001D0368">
        <w:t>an</w:t>
      </w:r>
      <w:r>
        <w:t xml:space="preserve"> </w:t>
      </w:r>
      <w:r w:rsidRPr="001D0368">
        <w:t>act</w:t>
      </w:r>
      <w:r>
        <w:t xml:space="preserve"> </w:t>
      </w:r>
      <w:r w:rsidRPr="001D0368">
        <w:t>or</w:t>
      </w:r>
      <w:r>
        <w:t xml:space="preserve"> </w:t>
      </w:r>
      <w:r w:rsidRPr="001D0368">
        <w:t>omission,</w:t>
      </w:r>
      <w:r>
        <w:t xml:space="preserve"> </w:t>
      </w:r>
      <w:r w:rsidRPr="001D0368">
        <w:t>the</w:t>
      </w:r>
      <w:r>
        <w:t xml:space="preserve"> </w:t>
      </w:r>
      <w:r w:rsidRPr="001D0368">
        <w:t>denial</w:t>
      </w:r>
      <w:r>
        <w:t xml:space="preserve"> </w:t>
      </w:r>
      <w:r w:rsidR="004122CE">
        <w:t xml:space="preserve">or failure </w:t>
      </w:r>
      <w:r w:rsidRPr="001D0368">
        <w:t>of</w:t>
      </w:r>
      <w:r>
        <w:t xml:space="preserve"> </w:t>
      </w:r>
      <w:r w:rsidRPr="001D0368">
        <w:t>a</w:t>
      </w:r>
      <w:r>
        <w:t xml:space="preserve"> </w:t>
      </w:r>
      <w:r w:rsidRPr="001D0368">
        <w:t>transaction</w:t>
      </w:r>
      <w:r>
        <w:t xml:space="preserve"> </w:t>
      </w:r>
      <w:r w:rsidRPr="001D0368">
        <w:t>based</w:t>
      </w:r>
      <w:r>
        <w:t xml:space="preserve"> </w:t>
      </w:r>
      <w:r w:rsidRPr="001D0368">
        <w:t>on</w:t>
      </w:r>
      <w:r>
        <w:t xml:space="preserve"> </w:t>
      </w:r>
      <w:r w:rsidRPr="001D0368">
        <w:t>criteria</w:t>
      </w:r>
      <w:r>
        <w:t xml:space="preserve"> </w:t>
      </w:r>
      <w:r w:rsidRPr="001D0368">
        <w:t>listed</w:t>
      </w:r>
      <w:r>
        <w:t xml:space="preserve"> </w:t>
      </w:r>
      <w:r w:rsidRPr="001D0368">
        <w:t>in</w:t>
      </w:r>
      <w:r>
        <w:t xml:space="preserve"> </w:t>
      </w:r>
      <w:r w:rsidRPr="001D0368">
        <w:t>paragraph</w:t>
      </w:r>
      <w:r>
        <w:t xml:space="preserve"> </w:t>
      </w:r>
      <w:r w:rsidRPr="001D0368">
        <w:t>(</w:t>
      </w:r>
      <w:r w:rsidR="00073B53">
        <w:t>a</w:t>
      </w:r>
      <w:r w:rsidRPr="001D0368">
        <w:t>)</w:t>
      </w:r>
      <w:r>
        <w:t xml:space="preserve"> </w:t>
      </w:r>
      <w:r w:rsidRPr="001D0368">
        <w:t>of</w:t>
      </w:r>
      <w:r>
        <w:t xml:space="preserve"> </w:t>
      </w:r>
      <w:r w:rsidRPr="001D0368">
        <w:t>this</w:t>
      </w:r>
      <w:r>
        <w:t xml:space="preserve"> </w:t>
      </w:r>
      <w:r w:rsidRPr="001D0368">
        <w:t>subsection,</w:t>
      </w:r>
      <w:r>
        <w:t xml:space="preserve"> </w:t>
      </w:r>
      <w:r w:rsidRPr="001D0368">
        <w:t>through</w:t>
      </w:r>
      <w:r>
        <w:t xml:space="preserve"> </w:t>
      </w:r>
      <w:r w:rsidRPr="001D0368">
        <w:t>direct</w:t>
      </w:r>
      <w:r>
        <w:t xml:space="preserve"> </w:t>
      </w:r>
      <w:r w:rsidRPr="001D0368">
        <w:t>action,</w:t>
      </w:r>
      <w:r>
        <w:t xml:space="preserve"> </w:t>
      </w:r>
      <w:r w:rsidRPr="001D0368">
        <w:t>automation,</w:t>
      </w:r>
      <w:r>
        <w:t xml:space="preserve"> </w:t>
      </w:r>
      <w:r w:rsidRPr="001D0368">
        <w:t>or</w:t>
      </w:r>
      <w:r>
        <w:t xml:space="preserve"> </w:t>
      </w:r>
      <w:r w:rsidRPr="001D0368">
        <w:t>programming</w:t>
      </w:r>
      <w:r w:rsidR="00774C10">
        <w:t>, including through</w:t>
      </w:r>
      <w:r w:rsidR="00180376">
        <w:t xml:space="preserve"> </w:t>
      </w:r>
      <w:r w:rsidR="00A6012F">
        <w:t>automatic actions caused by computer code, algorithms, or artificial intelligence used by, on behalf of, or in support of, the issuer, the issuer’s product, and the issuer’s affiliates</w:t>
      </w:r>
    </w:p>
    <w:p w14:paraId="144A156E" w14:textId="2C43477F" w:rsidR="00B6299B" w:rsidRDefault="00B6299B" w:rsidP="00A946E7">
      <w:pPr>
        <w:ind w:left="720"/>
      </w:pPr>
      <w:r>
        <w:t>(</w:t>
      </w:r>
      <w:r w:rsidR="005A02B9">
        <w:t>3</w:t>
      </w:r>
      <w:r>
        <w:t>)</w:t>
      </w:r>
      <w:r w:rsidRPr="00B6299B">
        <w:t xml:space="preserve"> If</w:t>
      </w:r>
      <w:r>
        <w:t xml:space="preserve"> </w:t>
      </w:r>
      <w:r w:rsidRPr="00B6299B">
        <w:t>an</w:t>
      </w:r>
      <w:r>
        <w:t xml:space="preserve"> </w:t>
      </w:r>
      <w:r w:rsidRPr="00B6299B">
        <w:t>issuer</w:t>
      </w:r>
      <w:r>
        <w:t xml:space="preserve"> </w:t>
      </w:r>
      <w:r w:rsidRPr="00B6299B">
        <w:t>denies</w:t>
      </w:r>
      <w:r>
        <w:t xml:space="preserve"> </w:t>
      </w:r>
      <w:r w:rsidR="00774C10">
        <w:t xml:space="preserve">or allows </w:t>
      </w:r>
      <w:r w:rsidRPr="00B6299B">
        <w:t>a</w:t>
      </w:r>
      <w:r>
        <w:t xml:space="preserve"> </w:t>
      </w:r>
      <w:r w:rsidRPr="00B6299B">
        <w:t>transaction</w:t>
      </w:r>
      <w:r w:rsidR="00774C10">
        <w:t xml:space="preserve"> to fail</w:t>
      </w:r>
      <w:r w:rsidRPr="00B6299B">
        <w:t>,</w:t>
      </w:r>
      <w:r w:rsidR="00DD4C41">
        <w:t xml:space="preserve"> or restricts or terminates</w:t>
      </w:r>
      <w:r>
        <w:t xml:space="preserve"> </w:t>
      </w:r>
      <w:r w:rsidR="00DD4C41">
        <w:t xml:space="preserve">service, the </w:t>
      </w:r>
      <w:r w:rsidR="003D5C8C">
        <w:t xml:space="preserve">affected </w:t>
      </w:r>
      <w:r w:rsidRPr="00B6299B">
        <w:t>party</w:t>
      </w:r>
      <w:r>
        <w:t xml:space="preserve"> </w:t>
      </w:r>
      <w:r w:rsidRPr="00B6299B">
        <w:t>may</w:t>
      </w:r>
      <w:r>
        <w:t xml:space="preserve"> </w:t>
      </w:r>
      <w:r w:rsidRPr="00B6299B">
        <w:t>request</w:t>
      </w:r>
      <w:r>
        <w:t xml:space="preserve"> </w:t>
      </w:r>
      <w:r w:rsidRPr="00B6299B">
        <w:t>a</w:t>
      </w:r>
      <w:r>
        <w:t xml:space="preserve"> </w:t>
      </w:r>
      <w:r w:rsidRPr="00B6299B">
        <w:t>statement of</w:t>
      </w:r>
      <w:r>
        <w:t xml:space="preserve"> </w:t>
      </w:r>
      <w:r w:rsidRPr="00B6299B">
        <w:t>specific</w:t>
      </w:r>
      <w:r>
        <w:t xml:space="preserve"> </w:t>
      </w:r>
      <w:r w:rsidRPr="00B6299B">
        <w:t>reason</w:t>
      </w:r>
      <w:r w:rsidR="00635ED8">
        <w:t>(s)</w:t>
      </w:r>
      <w:r>
        <w:t xml:space="preserve"> </w:t>
      </w:r>
      <w:r w:rsidRPr="00B6299B">
        <w:t>within</w:t>
      </w:r>
      <w:r>
        <w:t xml:space="preserve"> </w:t>
      </w:r>
      <w:r w:rsidRPr="00B6299B">
        <w:t>ninety</w:t>
      </w:r>
      <w:r>
        <w:t xml:space="preserve"> </w:t>
      </w:r>
      <w:r w:rsidRPr="00B6299B">
        <w:t>(90)</w:t>
      </w:r>
      <w:r>
        <w:t xml:space="preserve"> </w:t>
      </w:r>
      <w:r w:rsidRPr="00B6299B">
        <w:t>days</w:t>
      </w:r>
      <w:r>
        <w:t xml:space="preserve"> </w:t>
      </w:r>
      <w:r w:rsidRPr="00B6299B">
        <w:t>of</w:t>
      </w:r>
      <w:r>
        <w:t xml:space="preserve"> </w:t>
      </w:r>
      <w:r w:rsidRPr="00B6299B">
        <w:t>the</w:t>
      </w:r>
      <w:r>
        <w:t xml:space="preserve"> </w:t>
      </w:r>
      <w:r w:rsidRPr="00B6299B">
        <w:t>denial</w:t>
      </w:r>
      <w:r w:rsidR="00774C10">
        <w:t xml:space="preserve"> </w:t>
      </w:r>
      <w:r w:rsidR="00DD4C41">
        <w:t xml:space="preserve">through customer service or an account representative </w:t>
      </w:r>
      <w:r w:rsidR="00774C10">
        <w:t>by phone, mail, or electronic mail</w:t>
      </w:r>
      <w:r w:rsidRPr="00B6299B">
        <w:t>.</w:t>
      </w:r>
    </w:p>
    <w:p w14:paraId="00C48377" w14:textId="31BA5CC7" w:rsidR="00B6299B" w:rsidRDefault="00B6299B" w:rsidP="00A946E7">
      <w:pPr>
        <w:ind w:left="720"/>
      </w:pPr>
      <w:r w:rsidRPr="00B6299B">
        <w:t>(</w:t>
      </w:r>
      <w:r w:rsidR="005A02B9">
        <w:t>4</w:t>
      </w:r>
      <w:r w:rsidRPr="00B6299B">
        <w:t>) If</w:t>
      </w:r>
      <w:r>
        <w:t xml:space="preserve"> </w:t>
      </w:r>
      <w:r w:rsidRPr="00B6299B">
        <w:t>a</w:t>
      </w:r>
      <w:r>
        <w:t xml:space="preserve"> </w:t>
      </w:r>
      <w:r w:rsidRPr="00B6299B">
        <w:t>statement</w:t>
      </w:r>
      <w:r>
        <w:t xml:space="preserve"> </w:t>
      </w:r>
      <w:r w:rsidRPr="00B6299B">
        <w:t>of</w:t>
      </w:r>
      <w:r>
        <w:t xml:space="preserve"> </w:t>
      </w:r>
      <w:r w:rsidRPr="00B6299B">
        <w:t>specific</w:t>
      </w:r>
      <w:r>
        <w:t xml:space="preserve"> </w:t>
      </w:r>
      <w:r w:rsidRPr="00B6299B">
        <w:t>reason</w:t>
      </w:r>
      <w:r w:rsidR="00635ED8">
        <w:t>(s)</w:t>
      </w:r>
      <w:r>
        <w:t xml:space="preserve"> </w:t>
      </w:r>
      <w:r w:rsidRPr="00B6299B">
        <w:t>is</w:t>
      </w:r>
      <w:r>
        <w:t xml:space="preserve"> </w:t>
      </w:r>
      <w:r w:rsidRPr="00B6299B">
        <w:t>requested</w:t>
      </w:r>
      <w:r>
        <w:t xml:space="preserve"> </w:t>
      </w:r>
      <w:r w:rsidRPr="00B6299B">
        <w:t>pursuant</w:t>
      </w:r>
      <w:r>
        <w:t xml:space="preserve"> </w:t>
      </w:r>
      <w:r w:rsidRPr="00B6299B">
        <w:t>to</w:t>
      </w:r>
      <w:r>
        <w:t xml:space="preserve"> </w:t>
      </w:r>
      <w:r w:rsidRPr="00B6299B">
        <w:t>subsection</w:t>
      </w:r>
      <w:r>
        <w:t xml:space="preserve"> </w:t>
      </w:r>
      <w:r w:rsidRPr="00B6299B">
        <w:t>(2)</w:t>
      </w:r>
      <w:r>
        <w:t xml:space="preserve"> </w:t>
      </w:r>
      <w:r w:rsidRPr="00B6299B">
        <w:t>of</w:t>
      </w:r>
      <w:r>
        <w:t xml:space="preserve"> </w:t>
      </w:r>
      <w:r w:rsidRPr="00B6299B">
        <w:t>this</w:t>
      </w:r>
      <w:r>
        <w:t xml:space="preserve"> </w:t>
      </w:r>
      <w:r w:rsidRPr="00B6299B">
        <w:t>section,</w:t>
      </w:r>
      <w:r>
        <w:t xml:space="preserve"> </w:t>
      </w:r>
      <w:r w:rsidRPr="00B6299B">
        <w:t>the</w:t>
      </w:r>
      <w:r>
        <w:t xml:space="preserve"> </w:t>
      </w:r>
      <w:r w:rsidRPr="00B6299B">
        <w:t>issuer</w:t>
      </w:r>
      <w:r>
        <w:t xml:space="preserve"> </w:t>
      </w:r>
      <w:r w:rsidRPr="00B6299B">
        <w:t>shall</w:t>
      </w:r>
      <w:r>
        <w:t xml:space="preserve"> </w:t>
      </w:r>
      <w:r w:rsidRPr="00B6299B">
        <w:t>respond</w:t>
      </w:r>
      <w:r>
        <w:t xml:space="preserve"> </w:t>
      </w:r>
      <w:r w:rsidRPr="00B6299B">
        <w:t>with</w:t>
      </w:r>
      <w:r>
        <w:t xml:space="preserve"> </w:t>
      </w:r>
      <w:r w:rsidRPr="00B6299B">
        <w:t>a</w:t>
      </w:r>
      <w:r>
        <w:t xml:space="preserve"> </w:t>
      </w:r>
      <w:r w:rsidR="00774C10">
        <w:t xml:space="preserve">written </w:t>
      </w:r>
      <w:r w:rsidRPr="00B6299B">
        <w:t>statement</w:t>
      </w:r>
      <w:r w:rsidR="00774C10">
        <w:t>,</w:t>
      </w:r>
      <w:r>
        <w:t xml:space="preserve"> </w:t>
      </w:r>
      <w:r w:rsidR="00774C10">
        <w:t xml:space="preserve">by mail or electronic mail, </w:t>
      </w:r>
      <w:r w:rsidRPr="00B6299B">
        <w:t>of</w:t>
      </w:r>
      <w:r>
        <w:t xml:space="preserve"> </w:t>
      </w:r>
      <w:r w:rsidRPr="00B6299B">
        <w:t>specific</w:t>
      </w:r>
      <w:r>
        <w:t xml:space="preserve"> </w:t>
      </w:r>
      <w:r w:rsidRPr="00B6299B">
        <w:t>reason</w:t>
      </w:r>
      <w:r w:rsidR="00635ED8">
        <w:t>(s)</w:t>
      </w:r>
      <w:r>
        <w:t xml:space="preserve"> </w:t>
      </w:r>
      <w:r w:rsidRPr="00B6299B">
        <w:t>within</w:t>
      </w:r>
      <w:r>
        <w:t xml:space="preserve"> </w:t>
      </w:r>
      <w:r w:rsidRPr="00B6299B">
        <w:t>thirty</w:t>
      </w:r>
      <w:r>
        <w:t xml:space="preserve"> </w:t>
      </w:r>
      <w:r w:rsidRPr="00B6299B">
        <w:t>(30)</w:t>
      </w:r>
      <w:r>
        <w:t xml:space="preserve"> </w:t>
      </w:r>
      <w:r w:rsidRPr="00B6299B">
        <w:t>days</w:t>
      </w:r>
      <w:r>
        <w:t xml:space="preserve"> </w:t>
      </w:r>
      <w:r w:rsidRPr="00B6299B">
        <w:t>of</w:t>
      </w:r>
      <w:r>
        <w:t xml:space="preserve"> </w:t>
      </w:r>
      <w:r w:rsidRPr="00B6299B">
        <w:t>receiving</w:t>
      </w:r>
      <w:r>
        <w:t xml:space="preserve"> </w:t>
      </w:r>
      <w:r w:rsidRPr="00B6299B">
        <w:t>the</w:t>
      </w:r>
      <w:r>
        <w:t xml:space="preserve"> </w:t>
      </w:r>
      <w:r w:rsidRPr="00B6299B">
        <w:t>request. Such</w:t>
      </w:r>
      <w:r>
        <w:t xml:space="preserve"> </w:t>
      </w:r>
      <w:r w:rsidRPr="00B6299B">
        <w:t>statement</w:t>
      </w:r>
      <w:r>
        <w:t xml:space="preserve"> </w:t>
      </w:r>
      <w:r w:rsidRPr="00B6299B">
        <w:t>shall</w:t>
      </w:r>
      <w:r>
        <w:t xml:space="preserve"> </w:t>
      </w:r>
      <w:r w:rsidRPr="00B6299B">
        <w:t xml:space="preserve">include: </w:t>
      </w:r>
    </w:p>
    <w:p w14:paraId="2E2F02C4" w14:textId="6E19F46C" w:rsidR="00A676DD" w:rsidRDefault="00A676DD" w:rsidP="00A946E7">
      <w:pPr>
        <w:ind w:left="1440"/>
      </w:pPr>
      <w:r w:rsidRPr="00A676DD">
        <w:t>(a) A detailed explanation of the basis for the</w:t>
      </w:r>
      <w:r>
        <w:t xml:space="preserve"> </w:t>
      </w:r>
      <w:r w:rsidRPr="00A676DD">
        <w:t>denial, failure, restriction, or termination, including a</w:t>
      </w:r>
      <w:r>
        <w:t xml:space="preserve"> </w:t>
      </w:r>
      <w:r w:rsidRPr="00A676DD">
        <w:t>description of any of the speech, religious exercise,</w:t>
      </w:r>
      <w:r>
        <w:t xml:space="preserve"> </w:t>
      </w:r>
      <w:r w:rsidRPr="00A676DD">
        <w:t>business activity</w:t>
      </w:r>
      <w:r w:rsidR="00204DF9">
        <w:t>, including</w:t>
      </w:r>
      <w:r w:rsidRPr="00A676DD">
        <w:t xml:space="preserve"> with</w:t>
      </w:r>
      <w:r w:rsidR="004E364B">
        <w:t>in</w:t>
      </w:r>
      <w:r w:rsidRPr="00A676DD">
        <w:t xml:space="preserve"> a particular industry, or other</w:t>
      </w:r>
      <w:r>
        <w:t xml:space="preserve"> </w:t>
      </w:r>
      <w:r w:rsidRPr="00A676DD">
        <w:t>conduct that led to, or influenced, in whole or in part, the</w:t>
      </w:r>
      <w:r>
        <w:t xml:space="preserve"> </w:t>
      </w:r>
      <w:r w:rsidRPr="00A676DD">
        <w:t xml:space="preserve">denial, failure, restriction, or termination; </w:t>
      </w:r>
    </w:p>
    <w:p w14:paraId="7E8332CD" w14:textId="4CADC44B" w:rsidR="00B6299B" w:rsidRDefault="00B6299B" w:rsidP="00A946E7">
      <w:pPr>
        <w:ind w:left="1440"/>
      </w:pPr>
      <w:r w:rsidRPr="00B6299B">
        <w:lastRenderedPageBreak/>
        <w:t>(</w:t>
      </w:r>
      <w:r w:rsidR="004E364B">
        <w:t>b</w:t>
      </w:r>
      <w:r w:rsidRPr="00B6299B">
        <w:t xml:space="preserve">) </w:t>
      </w:r>
      <w:r w:rsidR="004E364B">
        <w:t xml:space="preserve">A copy of the terms of service agreed to by the person and the requesting party, together with a </w:t>
      </w:r>
      <w:r w:rsidRPr="00B6299B">
        <w:t>citation to</w:t>
      </w:r>
      <w:r>
        <w:t xml:space="preserve"> </w:t>
      </w:r>
      <w:r w:rsidRPr="00B6299B">
        <w:t>the</w:t>
      </w:r>
      <w:r>
        <w:t xml:space="preserve"> </w:t>
      </w:r>
      <w:r w:rsidRPr="00B6299B">
        <w:t>specific</w:t>
      </w:r>
      <w:r>
        <w:t xml:space="preserve"> </w:t>
      </w:r>
      <w:r w:rsidRPr="00B6299B">
        <w:t>terms</w:t>
      </w:r>
      <w:r>
        <w:t xml:space="preserve"> </w:t>
      </w:r>
      <w:r w:rsidRPr="00B6299B">
        <w:t>of</w:t>
      </w:r>
      <w:r>
        <w:t xml:space="preserve"> </w:t>
      </w:r>
      <w:r w:rsidRPr="00B6299B">
        <w:t>service</w:t>
      </w:r>
      <w:r>
        <w:t xml:space="preserve"> </w:t>
      </w:r>
      <w:r w:rsidR="004E364B">
        <w:t xml:space="preserve">upon which the issuer relied </w:t>
      </w:r>
      <w:r w:rsidRPr="00B6299B">
        <w:t>for</w:t>
      </w:r>
      <w:r>
        <w:t xml:space="preserve"> </w:t>
      </w:r>
      <w:r w:rsidRPr="00B6299B">
        <w:t>the</w:t>
      </w:r>
      <w:r>
        <w:t xml:space="preserve"> </w:t>
      </w:r>
      <w:r w:rsidRPr="00B6299B">
        <w:t>denial</w:t>
      </w:r>
      <w:r w:rsidR="003D5C8C">
        <w:t>, failure, restriction or termination</w:t>
      </w:r>
      <w:r w:rsidRPr="00B6299B">
        <w:t>;</w:t>
      </w:r>
      <w:r w:rsidR="004E364B">
        <w:t xml:space="preserve"> and</w:t>
      </w:r>
    </w:p>
    <w:p w14:paraId="3A597213" w14:textId="2DC87B6B" w:rsidR="00B6299B" w:rsidRDefault="00B6299B" w:rsidP="00A946E7">
      <w:pPr>
        <w:ind w:left="1440"/>
      </w:pPr>
      <w:r w:rsidRPr="00B6299B">
        <w:t>(</w:t>
      </w:r>
      <w:r w:rsidR="004E364B">
        <w:t>c</w:t>
      </w:r>
      <w:r w:rsidRPr="00B6299B">
        <w:t>) A</w:t>
      </w:r>
      <w:r>
        <w:t xml:space="preserve"> </w:t>
      </w:r>
      <w:r w:rsidRPr="00B6299B">
        <w:t>phone</w:t>
      </w:r>
      <w:r>
        <w:t xml:space="preserve"> </w:t>
      </w:r>
      <w:r w:rsidRPr="00B6299B">
        <w:t>number,</w:t>
      </w:r>
      <w:r>
        <w:t xml:space="preserve"> </w:t>
      </w:r>
      <w:r w:rsidRPr="00B6299B">
        <w:t>email</w:t>
      </w:r>
      <w:r>
        <w:t xml:space="preserve"> </w:t>
      </w:r>
      <w:r w:rsidRPr="00B6299B">
        <w:t>address,</w:t>
      </w:r>
      <w:r>
        <w:t xml:space="preserve"> </w:t>
      </w:r>
      <w:r w:rsidRPr="00B6299B">
        <w:t>and</w:t>
      </w:r>
      <w:r>
        <w:t xml:space="preserve"> </w:t>
      </w:r>
      <w:r w:rsidRPr="00B6299B">
        <w:t>physical</w:t>
      </w:r>
      <w:r>
        <w:t xml:space="preserve"> </w:t>
      </w:r>
      <w:r w:rsidRPr="00B6299B">
        <w:t>address</w:t>
      </w:r>
      <w:r>
        <w:t xml:space="preserve"> </w:t>
      </w:r>
      <w:r w:rsidRPr="00B6299B">
        <w:t>where</w:t>
      </w:r>
      <w:r>
        <w:t xml:space="preserve"> </w:t>
      </w:r>
      <w:r w:rsidRPr="00B6299B">
        <w:t>the</w:t>
      </w:r>
      <w:r>
        <w:t xml:space="preserve"> </w:t>
      </w:r>
      <w:r w:rsidRPr="00B6299B">
        <w:t>requesting</w:t>
      </w:r>
      <w:r>
        <w:t xml:space="preserve"> </w:t>
      </w:r>
      <w:r w:rsidRPr="00B6299B">
        <w:t>party</w:t>
      </w:r>
      <w:r>
        <w:t xml:space="preserve"> </w:t>
      </w:r>
      <w:r w:rsidRPr="00B6299B">
        <w:t>can</w:t>
      </w:r>
      <w:r>
        <w:t xml:space="preserve"> </w:t>
      </w:r>
      <w:r w:rsidRPr="00B6299B">
        <w:t>further</w:t>
      </w:r>
      <w:r>
        <w:t xml:space="preserve"> </w:t>
      </w:r>
      <w:r w:rsidRPr="00B6299B">
        <w:t>inquire</w:t>
      </w:r>
      <w:r w:rsidR="004E364B">
        <w:t>.</w:t>
      </w:r>
    </w:p>
    <w:p w14:paraId="5FD75DD7" w14:textId="2679964F" w:rsidR="00B6299B" w:rsidRDefault="00B6299B" w:rsidP="00A946E7">
      <w:pPr>
        <w:ind w:left="1440"/>
      </w:pPr>
      <w:r w:rsidRPr="00B6299B">
        <w:t>.</w:t>
      </w:r>
    </w:p>
    <w:p w14:paraId="009CB6FC" w14:textId="4AFE7BD2" w:rsidR="009A77B3" w:rsidRDefault="00B8619B" w:rsidP="00A946E7">
      <w:pPr>
        <w:ind w:left="720"/>
      </w:pPr>
      <w:r>
        <w:t>(</w:t>
      </w:r>
      <w:r w:rsidR="005A02B9">
        <w:t>5</w:t>
      </w:r>
      <w:r>
        <w:t>)</w:t>
      </w:r>
      <w:r w:rsidRPr="00B8619B">
        <w:t xml:space="preserve"> Nothing in this section shall be construed to prohibit a</w:t>
      </w:r>
      <w:r w:rsidR="00180376">
        <w:t>n</w:t>
      </w:r>
      <w:r w:rsidRPr="00B8619B">
        <w:t xml:space="preserve"> issuer</w:t>
      </w:r>
      <w:r>
        <w:t xml:space="preserve"> </w:t>
      </w:r>
      <w:r w:rsidRPr="00B8619B">
        <w:t>the</w:t>
      </w:r>
      <w:r>
        <w:t xml:space="preserve"> </w:t>
      </w:r>
      <w:r w:rsidRPr="00B8619B">
        <w:t>ability</w:t>
      </w:r>
      <w:r>
        <w:t xml:space="preserve"> </w:t>
      </w:r>
      <w:r w:rsidRPr="00B8619B">
        <w:t>to</w:t>
      </w:r>
      <w:r>
        <w:t xml:space="preserve"> </w:t>
      </w:r>
      <w:r w:rsidR="00635ED8">
        <w:t>deny</w:t>
      </w:r>
      <w:r>
        <w:t xml:space="preserve"> </w:t>
      </w:r>
      <w:r w:rsidRPr="00B8619B">
        <w:t>a</w:t>
      </w:r>
      <w:r>
        <w:t xml:space="preserve"> </w:t>
      </w:r>
      <w:r w:rsidRPr="00B8619B">
        <w:t>transaction</w:t>
      </w:r>
      <w:r>
        <w:t xml:space="preserve"> </w:t>
      </w:r>
      <w:r w:rsidRPr="00B8619B">
        <w:t>that</w:t>
      </w:r>
      <w:r>
        <w:t xml:space="preserve"> </w:t>
      </w:r>
      <w:r w:rsidRPr="00B8619B">
        <w:t>constitutes</w:t>
      </w:r>
      <w:r>
        <w:t xml:space="preserve"> </w:t>
      </w:r>
      <w:r w:rsidRPr="00B8619B">
        <w:t>a</w:t>
      </w:r>
      <w:r>
        <w:t xml:space="preserve"> </w:t>
      </w:r>
      <w:r w:rsidRPr="00B8619B">
        <w:t>criminal</w:t>
      </w:r>
      <w:r>
        <w:t xml:space="preserve"> </w:t>
      </w:r>
      <w:r w:rsidRPr="00B8619B">
        <w:t>offense</w:t>
      </w:r>
      <w:r>
        <w:t xml:space="preserve"> </w:t>
      </w:r>
      <w:r w:rsidRPr="00B8619B">
        <w:t>or</w:t>
      </w:r>
      <w:r>
        <w:t xml:space="preserve"> </w:t>
      </w:r>
      <w:r w:rsidRPr="00B8619B">
        <w:t>payment</w:t>
      </w:r>
      <w:r>
        <w:t xml:space="preserve"> </w:t>
      </w:r>
      <w:r w:rsidRPr="00B8619B">
        <w:t>for</w:t>
      </w:r>
      <w:r>
        <w:t xml:space="preserve"> </w:t>
      </w:r>
      <w:r w:rsidRPr="00B8619B">
        <w:t>a</w:t>
      </w:r>
      <w:r>
        <w:t xml:space="preserve"> </w:t>
      </w:r>
      <w:r w:rsidRPr="00B8619B">
        <w:t>criminal</w:t>
      </w:r>
      <w:r>
        <w:t xml:space="preserve"> </w:t>
      </w:r>
      <w:r w:rsidRPr="00B8619B">
        <w:t>act.</w:t>
      </w:r>
    </w:p>
    <w:p w14:paraId="7B6FE3DB" w14:textId="4361CC5B" w:rsidR="00836770" w:rsidRPr="009A77B3" w:rsidRDefault="009A77B3" w:rsidP="00836770">
      <w:pPr>
        <w:ind w:firstLine="720"/>
      </w:pPr>
      <w:r w:rsidRPr="009A77B3">
        <w:t xml:space="preserve">SECTION 3. REMEDIES </w:t>
      </w:r>
    </w:p>
    <w:p w14:paraId="28E96250" w14:textId="1FE0FCF0" w:rsidR="00836770" w:rsidRDefault="007C5B78" w:rsidP="009F0052">
      <w:pPr>
        <w:ind w:left="720"/>
      </w:pPr>
      <w:r w:rsidRPr="007C5B78">
        <w:t xml:space="preserve">(1) </w:t>
      </w:r>
      <w:r w:rsidR="00031D06">
        <w:t>A</w:t>
      </w:r>
      <w:r w:rsidR="00D868CE">
        <w:t xml:space="preserve"> party</w:t>
      </w:r>
      <w:r w:rsidRPr="007C5B78">
        <w:t xml:space="preserve"> aggrieved </w:t>
      </w:r>
      <w:r w:rsidR="00031D06">
        <w:t xml:space="preserve">pursuant to </w:t>
      </w:r>
      <w:r w:rsidRPr="007C5B78">
        <w:t xml:space="preserve">a violation of </w:t>
      </w:r>
      <w:r w:rsidR="00031D06">
        <w:t xml:space="preserve">this </w:t>
      </w:r>
      <w:r w:rsidR="004E364B">
        <w:t>part</w:t>
      </w:r>
      <w:r w:rsidRPr="007C5B78">
        <w:t xml:space="preserve"> may bring </w:t>
      </w:r>
      <w:r w:rsidR="00031D06">
        <w:t xml:space="preserve">a civil </w:t>
      </w:r>
      <w:r w:rsidRPr="007C5B78">
        <w:t xml:space="preserve">suit for declaratory </w:t>
      </w:r>
      <w:r w:rsidR="00031D06">
        <w:t xml:space="preserve">or injunctive </w:t>
      </w:r>
      <w:r w:rsidRPr="007C5B78">
        <w:t>relief</w:t>
      </w:r>
      <w:r w:rsidR="00031D06">
        <w:t xml:space="preserve"> and may recover</w:t>
      </w:r>
      <w:r w:rsidRPr="007C5B78">
        <w:t xml:space="preserve"> actual and punitive damages against the violating party. </w:t>
      </w:r>
    </w:p>
    <w:p w14:paraId="29D3EAA8" w14:textId="64378383" w:rsidR="00836770" w:rsidRDefault="007C5B78" w:rsidP="009F0052">
      <w:pPr>
        <w:ind w:left="720"/>
      </w:pPr>
      <w:r w:rsidRPr="007C5B78">
        <w:t xml:space="preserve">(2) </w:t>
      </w:r>
      <w:r w:rsidR="00031D06">
        <w:t xml:space="preserve">In an action pursuant to this </w:t>
      </w:r>
      <w:r w:rsidR="004E364B">
        <w:t>part</w:t>
      </w:r>
      <w:r w:rsidR="00031D06">
        <w:t>, the</w:t>
      </w:r>
      <w:r w:rsidR="00031D06" w:rsidRPr="007C5B78">
        <w:t xml:space="preserve"> </w:t>
      </w:r>
      <w:r w:rsidRPr="007C5B78">
        <w:t>prevailing plaintiff</w:t>
      </w:r>
      <w:r w:rsidR="00031D06">
        <w:t>, upon each separate cause of action, shall recover</w:t>
      </w:r>
      <w:r w:rsidRPr="007C5B78">
        <w:t xml:space="preserve"> reasonable attorney's fees. </w:t>
      </w:r>
    </w:p>
    <w:p w14:paraId="7CA59496" w14:textId="77777777" w:rsidR="00836770" w:rsidRDefault="007C5B78" w:rsidP="009F0052">
      <w:pPr>
        <w:ind w:left="720"/>
      </w:pPr>
      <w:r w:rsidRPr="007C5B78">
        <w:t xml:space="preserve">(3) Punitive damages shall amount to the higher of either three times the actual damages or three times the amount of the awarded attorney's fees. </w:t>
      </w:r>
    </w:p>
    <w:p w14:paraId="4494172A" w14:textId="0196F807" w:rsidR="00836770" w:rsidRDefault="007C5B78" w:rsidP="009F0052">
      <w:pPr>
        <w:ind w:left="720"/>
      </w:pPr>
      <w:r w:rsidRPr="007C5B78">
        <w:t xml:space="preserve">(4) If the court finds that the defendant </w:t>
      </w:r>
      <w:r w:rsidR="00031D06">
        <w:t xml:space="preserve">acted </w:t>
      </w:r>
      <w:r w:rsidRPr="007C5B78">
        <w:t>intentionally</w:t>
      </w:r>
      <w:r w:rsidR="00031D06">
        <w:t xml:space="preserve"> or</w:t>
      </w:r>
      <w:r w:rsidRPr="007C5B78">
        <w:t xml:space="preserve"> knowingly, or repeatedly violated </w:t>
      </w:r>
      <w:r w:rsidR="00031D06">
        <w:t xml:space="preserve">the provisions of this </w:t>
      </w:r>
      <w:r w:rsidR="004E364B">
        <w:t>part</w:t>
      </w:r>
      <w:r w:rsidRPr="007C5B78">
        <w:t xml:space="preserve">, the court may order </w:t>
      </w:r>
      <w:r w:rsidR="00031D06">
        <w:t xml:space="preserve">revocation of </w:t>
      </w:r>
      <w:r w:rsidRPr="007C5B78">
        <w:t xml:space="preserve">the defendant's authorization to conduct business in this state. </w:t>
      </w:r>
    </w:p>
    <w:p w14:paraId="206D7D9E" w14:textId="77777777" w:rsidR="00836770" w:rsidRDefault="007C5B78" w:rsidP="009F0052">
      <w:pPr>
        <w:ind w:left="720"/>
      </w:pPr>
      <w:r w:rsidRPr="007C5B78">
        <w:t xml:space="preserve">(5) A suit can be brought in chancery court in the plaintiff's county of residence, the county where the violation occurred, or the county where the defendant is domiciled. </w:t>
      </w:r>
    </w:p>
    <w:p w14:paraId="26B592C1" w14:textId="6D45B00E" w:rsidR="003B02A8" w:rsidRPr="00635ED8" w:rsidRDefault="003B02A8" w:rsidP="003B02A8">
      <w:pPr>
        <w:ind w:firstLine="720"/>
      </w:pPr>
      <w:r w:rsidRPr="00635ED8">
        <w:t xml:space="preserve">SECTION 4. </w:t>
      </w:r>
      <w:r>
        <w:t>CRIMINAL PENALTIES</w:t>
      </w:r>
      <w:r w:rsidRPr="00635ED8">
        <w:t xml:space="preserve">. </w:t>
      </w:r>
    </w:p>
    <w:p w14:paraId="0BA43DB1" w14:textId="1BF69575" w:rsidR="003B02A8" w:rsidRDefault="003B02A8" w:rsidP="009F0052">
      <w:pPr>
        <w:ind w:left="720"/>
      </w:pPr>
      <w:r>
        <w:t xml:space="preserve">(1) </w:t>
      </w:r>
      <w:proofErr w:type="gramStart"/>
      <w:r w:rsidRPr="003B02A8">
        <w:t>An</w:t>
      </w:r>
      <w:proofErr w:type="gramEnd"/>
      <w:r>
        <w:t xml:space="preserve"> </w:t>
      </w:r>
      <w:r w:rsidR="00180376">
        <w:t>person</w:t>
      </w:r>
      <w:r>
        <w:t xml:space="preserve"> </w:t>
      </w:r>
      <w:r w:rsidRPr="003B02A8">
        <w:t>who</w:t>
      </w:r>
      <w:r>
        <w:t xml:space="preserve"> </w:t>
      </w:r>
      <w:r w:rsidRPr="003B02A8">
        <w:t>violates</w:t>
      </w:r>
      <w:r>
        <w:t xml:space="preserve"> </w:t>
      </w:r>
      <w:r w:rsidRPr="003B02A8">
        <w:t>the</w:t>
      </w:r>
      <w:r>
        <w:t xml:space="preserve"> </w:t>
      </w:r>
      <w:r w:rsidRPr="003B02A8">
        <w:t>provisions</w:t>
      </w:r>
      <w:r>
        <w:t xml:space="preserve"> </w:t>
      </w:r>
      <w:r w:rsidRPr="003B02A8">
        <w:t>of</w:t>
      </w:r>
      <w:r>
        <w:t xml:space="preserve"> </w:t>
      </w:r>
      <w:r w:rsidRPr="003B02A8">
        <w:t>this</w:t>
      </w:r>
      <w:r>
        <w:t xml:space="preserve"> </w:t>
      </w:r>
      <w:r w:rsidR="004E364B">
        <w:t xml:space="preserve">part </w:t>
      </w:r>
      <w:r w:rsidRPr="003B02A8">
        <w:t>is</w:t>
      </w:r>
      <w:r>
        <w:t xml:space="preserve"> </w:t>
      </w:r>
      <w:r w:rsidRPr="003B02A8">
        <w:t>guilty</w:t>
      </w:r>
      <w:r>
        <w:t xml:space="preserve"> </w:t>
      </w:r>
      <w:r w:rsidRPr="003B02A8">
        <w:t>of</w:t>
      </w:r>
      <w:r>
        <w:t xml:space="preserve"> </w:t>
      </w:r>
      <w:r w:rsidRPr="003B02A8">
        <w:t>a</w:t>
      </w:r>
      <w:r>
        <w:t xml:space="preserve"> </w:t>
      </w:r>
      <w:r w:rsidRPr="003B02A8">
        <w:t>misdemeanor</w:t>
      </w:r>
      <w:r>
        <w:t xml:space="preserve"> </w:t>
      </w:r>
      <w:r w:rsidRPr="003B02A8">
        <w:t>and,</w:t>
      </w:r>
      <w:r>
        <w:t xml:space="preserve"> </w:t>
      </w:r>
      <w:r w:rsidRPr="003B02A8">
        <w:t>upon</w:t>
      </w:r>
      <w:r>
        <w:t xml:space="preserve"> </w:t>
      </w:r>
      <w:r w:rsidRPr="003B02A8">
        <w:t>conviction,</w:t>
      </w:r>
      <w:r>
        <w:t xml:space="preserve"> </w:t>
      </w:r>
      <w:r w:rsidRPr="003B02A8">
        <w:t>may</w:t>
      </w:r>
      <w:r>
        <w:t xml:space="preserve"> </w:t>
      </w:r>
      <w:r w:rsidRPr="003B02A8">
        <w:t>be</w:t>
      </w:r>
      <w:r>
        <w:t xml:space="preserve"> </w:t>
      </w:r>
      <w:r w:rsidRPr="003B02A8">
        <w:t>sentenced</w:t>
      </w:r>
      <w:r>
        <w:t xml:space="preserve"> </w:t>
      </w:r>
      <w:r w:rsidRPr="003B02A8">
        <w:t>to</w:t>
      </w:r>
      <w:r>
        <w:t xml:space="preserve"> </w:t>
      </w:r>
      <w:r w:rsidRPr="003B02A8">
        <w:t>pay</w:t>
      </w:r>
      <w:r>
        <w:t xml:space="preserve"> </w:t>
      </w:r>
      <w:r w:rsidRPr="003B02A8">
        <w:t>a</w:t>
      </w:r>
      <w:r>
        <w:t xml:space="preserve"> </w:t>
      </w:r>
      <w:r w:rsidRPr="003B02A8">
        <w:t>fine</w:t>
      </w:r>
      <w:r>
        <w:t xml:space="preserve"> </w:t>
      </w:r>
      <w:r w:rsidRPr="003B02A8">
        <w:t>of</w:t>
      </w:r>
      <w:r>
        <w:t xml:space="preserve"> </w:t>
      </w:r>
      <w:r w:rsidRPr="003B02A8">
        <w:t>ten</w:t>
      </w:r>
      <w:r>
        <w:t xml:space="preserve"> </w:t>
      </w:r>
      <w:r w:rsidRPr="003B02A8">
        <w:t>thousand</w:t>
      </w:r>
      <w:r>
        <w:t xml:space="preserve"> </w:t>
      </w:r>
      <w:r w:rsidRPr="003B02A8">
        <w:t>dollars</w:t>
      </w:r>
      <w:r>
        <w:t xml:space="preserve"> </w:t>
      </w:r>
      <w:r w:rsidRPr="003B02A8">
        <w:t>($10,000)</w:t>
      </w:r>
      <w:r>
        <w:t xml:space="preserve"> </w:t>
      </w:r>
      <w:r w:rsidRPr="003B02A8">
        <w:t>per</w:t>
      </w:r>
      <w:r>
        <w:t xml:space="preserve"> </w:t>
      </w:r>
      <w:r w:rsidRPr="003B02A8">
        <w:t>violation,</w:t>
      </w:r>
      <w:r>
        <w:t xml:space="preserve"> </w:t>
      </w:r>
      <w:r w:rsidRPr="003B02A8">
        <w:t>to imprisonment</w:t>
      </w:r>
      <w:r>
        <w:t xml:space="preserve"> </w:t>
      </w:r>
      <w:r w:rsidRPr="003B02A8">
        <w:t>not</w:t>
      </w:r>
      <w:r>
        <w:t xml:space="preserve"> </w:t>
      </w:r>
      <w:r w:rsidRPr="003B02A8">
        <w:t>exceeding</w:t>
      </w:r>
      <w:r>
        <w:t xml:space="preserve"> </w:t>
      </w:r>
      <w:r w:rsidRPr="003B02A8">
        <w:t>one</w:t>
      </w:r>
      <w:r>
        <w:t xml:space="preserve"> </w:t>
      </w:r>
      <w:r w:rsidRPr="003B02A8">
        <w:t>(1)</w:t>
      </w:r>
      <w:r>
        <w:t xml:space="preserve"> </w:t>
      </w:r>
      <w:r w:rsidRPr="003B02A8">
        <w:t>year,</w:t>
      </w:r>
      <w:r>
        <w:t xml:space="preserve"> </w:t>
      </w:r>
      <w:r w:rsidRPr="003B02A8">
        <w:t>or</w:t>
      </w:r>
      <w:r>
        <w:t xml:space="preserve"> </w:t>
      </w:r>
      <w:r w:rsidRPr="003B02A8">
        <w:t>both</w:t>
      </w:r>
      <w:r>
        <w:t xml:space="preserve"> </w:t>
      </w:r>
      <w:r w:rsidRPr="003B02A8">
        <w:t>such</w:t>
      </w:r>
      <w:r>
        <w:t xml:space="preserve"> </w:t>
      </w:r>
      <w:r w:rsidRPr="003B02A8">
        <w:t>fine</w:t>
      </w:r>
      <w:r>
        <w:t xml:space="preserve"> </w:t>
      </w:r>
      <w:r w:rsidRPr="003B02A8">
        <w:t>and</w:t>
      </w:r>
      <w:r>
        <w:t xml:space="preserve"> </w:t>
      </w:r>
      <w:r w:rsidRPr="003B02A8">
        <w:t xml:space="preserve">imprisonment. </w:t>
      </w:r>
    </w:p>
    <w:p w14:paraId="306490CC" w14:textId="77777777" w:rsidR="003B02A8" w:rsidRDefault="003B02A8" w:rsidP="003B02A8">
      <w:pPr>
        <w:ind w:left="720"/>
      </w:pPr>
      <w:r w:rsidRPr="003B02A8">
        <w:t xml:space="preserve">(2) </w:t>
      </w:r>
      <w:r>
        <w:t>E</w:t>
      </w:r>
      <w:r w:rsidRPr="003B02A8">
        <w:t>ach</w:t>
      </w:r>
      <w:r>
        <w:t xml:space="preserve"> </w:t>
      </w:r>
      <w:r w:rsidRPr="003B02A8">
        <w:t>denial</w:t>
      </w:r>
      <w:r>
        <w:t xml:space="preserve"> </w:t>
      </w:r>
      <w:r w:rsidRPr="003B02A8">
        <w:t>or</w:t>
      </w:r>
      <w:r>
        <w:t xml:space="preserve"> </w:t>
      </w:r>
      <w:r w:rsidRPr="003B02A8">
        <w:t>failed transaction</w:t>
      </w:r>
      <w:r>
        <w:t xml:space="preserve"> </w:t>
      </w:r>
      <w:r w:rsidRPr="003B02A8">
        <w:t>not</w:t>
      </w:r>
      <w:r>
        <w:t xml:space="preserve"> </w:t>
      </w:r>
      <w:r w:rsidRPr="003B02A8">
        <w:t>justified</w:t>
      </w:r>
      <w:r>
        <w:t xml:space="preserve"> </w:t>
      </w:r>
      <w:r w:rsidRPr="003B02A8">
        <w:t>constitutes</w:t>
      </w:r>
      <w:r>
        <w:t xml:space="preserve"> </w:t>
      </w:r>
      <w:r w:rsidRPr="003B02A8">
        <w:t>a</w:t>
      </w:r>
      <w:r>
        <w:t xml:space="preserve"> </w:t>
      </w:r>
      <w:r w:rsidRPr="003B02A8">
        <w:t>separate</w:t>
      </w:r>
      <w:r>
        <w:t xml:space="preserve"> </w:t>
      </w:r>
      <w:r w:rsidRPr="003B02A8">
        <w:t xml:space="preserve">offense. </w:t>
      </w:r>
    </w:p>
    <w:p w14:paraId="48F0BE45" w14:textId="7F3B7595" w:rsidR="00836770" w:rsidRPr="00635ED8" w:rsidRDefault="00635ED8" w:rsidP="00836770">
      <w:pPr>
        <w:ind w:firstLine="720"/>
      </w:pPr>
      <w:r w:rsidRPr="00635ED8">
        <w:t xml:space="preserve">SECTION </w:t>
      </w:r>
      <w:r w:rsidR="003B02A8">
        <w:t>5</w:t>
      </w:r>
      <w:r w:rsidRPr="00635ED8">
        <w:t>. ASSET SALE OR PURCHASE NOT PROHIBITED.</w:t>
      </w:r>
      <w:r w:rsidR="007C5B78" w:rsidRPr="00635ED8">
        <w:t xml:space="preserve"> </w:t>
      </w:r>
    </w:p>
    <w:p w14:paraId="2903FD10" w14:textId="5A34417B" w:rsidR="00836770" w:rsidRDefault="00771A99" w:rsidP="009F0052">
      <w:pPr>
        <w:ind w:firstLine="720"/>
      </w:pPr>
      <w:r>
        <w:t xml:space="preserve">Nothing in this </w:t>
      </w:r>
      <w:r w:rsidR="004E364B">
        <w:t xml:space="preserve">part </w:t>
      </w:r>
      <w:r>
        <w:t xml:space="preserve">shall be construed to </w:t>
      </w:r>
      <w:r w:rsidR="007C5B78" w:rsidRPr="007C5B78">
        <w:t xml:space="preserve">prohibit the purchase or sale of cryptocurrency or any other asset by any public or private party. </w:t>
      </w:r>
    </w:p>
    <w:p w14:paraId="5A0666BB" w14:textId="489D4E76" w:rsidR="009B1694" w:rsidRPr="00635ED8" w:rsidRDefault="00635ED8" w:rsidP="009B1694">
      <w:pPr>
        <w:ind w:firstLine="720"/>
      </w:pPr>
      <w:r w:rsidRPr="00635ED8">
        <w:lastRenderedPageBreak/>
        <w:t xml:space="preserve">SECTION </w:t>
      </w:r>
      <w:r w:rsidR="003B02A8">
        <w:t>6</w:t>
      </w:r>
      <w:r w:rsidRPr="00635ED8">
        <w:t xml:space="preserve">. SEVERABILITY. </w:t>
      </w:r>
    </w:p>
    <w:p w14:paraId="1BCF0206" w14:textId="19EFC872" w:rsidR="00836770" w:rsidRDefault="00771A99" w:rsidP="009F0052">
      <w:pPr>
        <w:ind w:firstLine="720"/>
      </w:pPr>
      <w:r>
        <w:t>The provisions of this act are hereby declared to be severable and if</w:t>
      </w:r>
      <w:r w:rsidR="007C5B78" w:rsidRPr="007C5B78">
        <w:t xml:space="preserve"> any provision of this act or </w:t>
      </w:r>
      <w:r>
        <w:t>the</w:t>
      </w:r>
      <w:r w:rsidRPr="007C5B78">
        <w:t xml:space="preserve"> </w:t>
      </w:r>
      <w:r w:rsidR="007C5B78" w:rsidRPr="007C5B78">
        <w:t xml:space="preserve">application </w:t>
      </w:r>
      <w:r>
        <w:t xml:space="preserve">of such provision </w:t>
      </w:r>
      <w:r w:rsidR="007C5B78" w:rsidRPr="007C5B78">
        <w:t xml:space="preserve">to any person or circumstance is </w:t>
      </w:r>
      <w:r>
        <w:t>declared</w:t>
      </w:r>
      <w:r w:rsidRPr="007C5B78">
        <w:t xml:space="preserve"> </w:t>
      </w:r>
      <w:r w:rsidR="007C5B78" w:rsidRPr="007C5B78">
        <w:t xml:space="preserve">invalid, </w:t>
      </w:r>
      <w:r>
        <w:t>such declaration shall</w:t>
      </w:r>
      <w:r w:rsidR="007C5B78" w:rsidRPr="007C5B78">
        <w:t xml:space="preserve"> not affect </w:t>
      </w:r>
      <w:r>
        <w:t>the validity of the remaining portions</w:t>
      </w:r>
      <w:r w:rsidR="007C5B78" w:rsidRPr="007C5B78">
        <w:t xml:space="preserve"> of this act. </w:t>
      </w:r>
    </w:p>
    <w:p w14:paraId="274B3157" w14:textId="7FD6B51D" w:rsidR="009B1694" w:rsidRPr="00635ED8" w:rsidRDefault="00635ED8" w:rsidP="009B1694">
      <w:pPr>
        <w:ind w:firstLine="720"/>
      </w:pPr>
      <w:r w:rsidRPr="00635ED8">
        <w:t xml:space="preserve">SECTION </w:t>
      </w:r>
      <w:r w:rsidR="003B02A8">
        <w:t>7</w:t>
      </w:r>
      <w:r w:rsidRPr="00635ED8">
        <w:t>. ENABLEMENT</w:t>
      </w:r>
    </w:p>
    <w:p w14:paraId="427F455D" w14:textId="1EE988DF" w:rsidR="007C5B78" w:rsidRDefault="007C5B78" w:rsidP="009F0052">
      <w:pPr>
        <w:ind w:firstLine="720"/>
      </w:pPr>
      <w:r w:rsidRPr="007C5B78">
        <w:t>This bill takes effect upon becoming a law, the public welfare requiring it.</w:t>
      </w:r>
    </w:p>
    <w:sectPr w:rsidR="007C5B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63F0" w14:textId="77777777" w:rsidR="00586353" w:rsidRDefault="00586353" w:rsidP="001973E8">
      <w:pPr>
        <w:spacing w:after="0" w:line="240" w:lineRule="auto"/>
      </w:pPr>
      <w:r>
        <w:separator/>
      </w:r>
    </w:p>
  </w:endnote>
  <w:endnote w:type="continuationSeparator" w:id="0">
    <w:p w14:paraId="2F0FD2F2" w14:textId="77777777" w:rsidR="00586353" w:rsidRDefault="00586353" w:rsidP="001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2CE7" w14:textId="53A74621" w:rsidR="004F0535" w:rsidRDefault="004F0535">
    <w:pPr>
      <w:pStyle w:val="Footer"/>
    </w:pPr>
    <w:r>
      <w:t>Solari Model Consumer Payment Rights and Transparency Act – version 2</w:t>
    </w:r>
    <w:r w:rsidR="00EC4897">
      <w:tab/>
      <w:t xml:space="preserve">page </w:t>
    </w:r>
    <w:r w:rsidR="00EC4897">
      <w:fldChar w:fldCharType="begin"/>
    </w:r>
    <w:r w:rsidR="00EC4897">
      <w:instrText xml:space="preserve"> PAGE   \* MERGEFORMAT </w:instrText>
    </w:r>
    <w:r w:rsidR="00EC4897">
      <w:fldChar w:fldCharType="separate"/>
    </w:r>
    <w:r w:rsidR="00EC4897">
      <w:rPr>
        <w:noProof/>
      </w:rPr>
      <w:t>1</w:t>
    </w:r>
    <w:r w:rsidR="00EC4897">
      <w:rPr>
        <w:noProof/>
      </w:rPr>
      <w:fldChar w:fldCharType="end"/>
    </w:r>
    <w:r w:rsidR="00EC4897">
      <w:rPr>
        <w:noProof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87A4" w14:textId="77777777" w:rsidR="00586353" w:rsidRDefault="00586353" w:rsidP="001973E8">
      <w:pPr>
        <w:spacing w:after="0" w:line="240" w:lineRule="auto"/>
      </w:pPr>
      <w:r>
        <w:separator/>
      </w:r>
    </w:p>
  </w:footnote>
  <w:footnote w:type="continuationSeparator" w:id="0">
    <w:p w14:paraId="0AD262F9" w14:textId="77777777" w:rsidR="00586353" w:rsidRDefault="00586353" w:rsidP="00197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F383B"/>
    <w:multiLevelType w:val="hybridMultilevel"/>
    <w:tmpl w:val="3796D018"/>
    <w:lvl w:ilvl="0" w:tplc="A55A1E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69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5D"/>
    <w:rsid w:val="000021FC"/>
    <w:rsid w:val="00002341"/>
    <w:rsid w:val="00031D06"/>
    <w:rsid w:val="00050A82"/>
    <w:rsid w:val="00073B53"/>
    <w:rsid w:val="000A49C1"/>
    <w:rsid w:val="000D113C"/>
    <w:rsid w:val="00111A45"/>
    <w:rsid w:val="00130C9B"/>
    <w:rsid w:val="00171149"/>
    <w:rsid w:val="00180376"/>
    <w:rsid w:val="001973E8"/>
    <w:rsid w:val="001D0368"/>
    <w:rsid w:val="001F3434"/>
    <w:rsid w:val="00204DF9"/>
    <w:rsid w:val="0026756D"/>
    <w:rsid w:val="00280C04"/>
    <w:rsid w:val="002B2118"/>
    <w:rsid w:val="002C0C89"/>
    <w:rsid w:val="002C2F3E"/>
    <w:rsid w:val="002E45E6"/>
    <w:rsid w:val="003414B1"/>
    <w:rsid w:val="00353F5D"/>
    <w:rsid w:val="003744BA"/>
    <w:rsid w:val="003B02A8"/>
    <w:rsid w:val="003D5C8C"/>
    <w:rsid w:val="003E46D1"/>
    <w:rsid w:val="003F2C30"/>
    <w:rsid w:val="00410B80"/>
    <w:rsid w:val="004122CE"/>
    <w:rsid w:val="00493C33"/>
    <w:rsid w:val="004C2793"/>
    <w:rsid w:val="004E364B"/>
    <w:rsid w:val="004F0535"/>
    <w:rsid w:val="00554F4D"/>
    <w:rsid w:val="00565F5D"/>
    <w:rsid w:val="0057657D"/>
    <w:rsid w:val="00586353"/>
    <w:rsid w:val="005A02B9"/>
    <w:rsid w:val="005A04DD"/>
    <w:rsid w:val="0060073C"/>
    <w:rsid w:val="00620D22"/>
    <w:rsid w:val="00635ED8"/>
    <w:rsid w:val="006A0B8C"/>
    <w:rsid w:val="006A38EE"/>
    <w:rsid w:val="006C4298"/>
    <w:rsid w:val="0076382F"/>
    <w:rsid w:val="00765EBE"/>
    <w:rsid w:val="00771A99"/>
    <w:rsid w:val="00774C10"/>
    <w:rsid w:val="00785C01"/>
    <w:rsid w:val="007864CE"/>
    <w:rsid w:val="00794305"/>
    <w:rsid w:val="007C45F9"/>
    <w:rsid w:val="007C5B78"/>
    <w:rsid w:val="007F120F"/>
    <w:rsid w:val="00836770"/>
    <w:rsid w:val="00837FE2"/>
    <w:rsid w:val="00845D22"/>
    <w:rsid w:val="00861EFB"/>
    <w:rsid w:val="00864907"/>
    <w:rsid w:val="008A2CBC"/>
    <w:rsid w:val="008E06BE"/>
    <w:rsid w:val="008F3540"/>
    <w:rsid w:val="00915976"/>
    <w:rsid w:val="009576C8"/>
    <w:rsid w:val="0099537D"/>
    <w:rsid w:val="009A77B3"/>
    <w:rsid w:val="009B1694"/>
    <w:rsid w:val="009F0052"/>
    <w:rsid w:val="009F6ADA"/>
    <w:rsid w:val="00A6012F"/>
    <w:rsid w:val="00A676DD"/>
    <w:rsid w:val="00A946E7"/>
    <w:rsid w:val="00AD73B4"/>
    <w:rsid w:val="00B10A26"/>
    <w:rsid w:val="00B339BD"/>
    <w:rsid w:val="00B6299B"/>
    <w:rsid w:val="00B8619B"/>
    <w:rsid w:val="00BA16DC"/>
    <w:rsid w:val="00C27BFE"/>
    <w:rsid w:val="00C320B8"/>
    <w:rsid w:val="00C65C77"/>
    <w:rsid w:val="00C8085E"/>
    <w:rsid w:val="00CB56AD"/>
    <w:rsid w:val="00CC180E"/>
    <w:rsid w:val="00D1122B"/>
    <w:rsid w:val="00D33D54"/>
    <w:rsid w:val="00D868CE"/>
    <w:rsid w:val="00DC2556"/>
    <w:rsid w:val="00DD4C41"/>
    <w:rsid w:val="00E13780"/>
    <w:rsid w:val="00E43A33"/>
    <w:rsid w:val="00E75ED5"/>
    <w:rsid w:val="00EC4897"/>
    <w:rsid w:val="00EE10CB"/>
    <w:rsid w:val="00F15247"/>
    <w:rsid w:val="00F43E6A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64BB"/>
  <w15:chartTrackingRefBased/>
  <w15:docId w15:val="{00AA0191-25A5-456D-B405-DB4687F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F5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3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3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3E8"/>
    <w:rPr>
      <w:vertAlign w:val="superscript"/>
    </w:rPr>
  </w:style>
  <w:style w:type="paragraph" w:styleId="Revision">
    <w:name w:val="Revision"/>
    <w:hidden/>
    <w:uiPriority w:val="99"/>
    <w:semiHidden/>
    <w:rsid w:val="001973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535"/>
  </w:style>
  <w:style w:type="paragraph" w:styleId="Footer">
    <w:name w:val="footer"/>
    <w:basedOn w:val="Normal"/>
    <w:link w:val="FooterChar"/>
    <w:uiPriority w:val="99"/>
    <w:unhideWhenUsed/>
    <w:rsid w:val="004F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535"/>
  </w:style>
  <w:style w:type="character" w:styleId="CommentReference">
    <w:name w:val="annotation reference"/>
    <w:basedOn w:val="DefaultParagraphFont"/>
    <w:uiPriority w:val="99"/>
    <w:semiHidden/>
    <w:unhideWhenUsed/>
    <w:rsid w:val="00D3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5A10-F8C8-4ACE-BFF7-ECF6840D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Liechty</dc:creator>
  <cp:keywords/>
  <dc:description/>
  <cp:lastModifiedBy>Elizabeth Murphy</cp:lastModifiedBy>
  <cp:revision>2</cp:revision>
  <dcterms:created xsi:type="dcterms:W3CDTF">2026-04-06T15:57:00Z</dcterms:created>
  <dcterms:modified xsi:type="dcterms:W3CDTF">2026-04-06T15:57:00Z</dcterms:modified>
</cp:coreProperties>
</file>